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jc w:val="center"/>
        <w:rPr>
          <w:rFonts w:hint="eastAsia" w:ascii="宋体" w:hAnsi="宋体" w:eastAsia="宋体" w:cs="宋体"/>
          <w:color w:val="auto"/>
          <w:sz w:val="84"/>
          <w:szCs w:val="84"/>
        </w:rPr>
      </w:pPr>
      <w:r>
        <w:rPr>
          <w:rFonts w:hint="eastAsia" w:ascii="宋体" w:hAnsi="宋体" w:eastAsia="宋体" w:cs="宋体"/>
          <w:color w:val="auto"/>
          <w:sz w:val="84"/>
          <w:szCs w:val="84"/>
        </w:rPr>
        <w:t>询价通知书</w:t>
      </w: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pStyle w:val="14"/>
        <w:keepNext w:val="0"/>
        <w:keepLines w:val="0"/>
        <w:widowControl/>
        <w:suppressLineNumbers w:val="0"/>
        <w:ind w:left="1260" w:leftChars="0" w:firstLine="420" w:firstLineChars="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Style w:val="19"/>
          <w:rFonts w:hint="eastAsia" w:ascii="宋体" w:hAnsi="宋体" w:eastAsia="宋体" w:cs="宋体"/>
          <w:color w:val="auto"/>
          <w:sz w:val="24"/>
          <w:szCs w:val="24"/>
        </w:rPr>
        <w:t>项目名称：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防火墙及超融合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维保服务采购</w:t>
      </w:r>
    </w:p>
    <w:p>
      <w:pPr>
        <w:pStyle w:val="14"/>
        <w:keepNext w:val="0"/>
        <w:keepLines w:val="0"/>
        <w:widowControl/>
        <w:suppressLineNumbers w:val="0"/>
        <w:ind w:left="1260" w:leftChars="0" w:firstLine="420" w:firstLineChars="0"/>
        <w:rPr>
          <w:rStyle w:val="19"/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Style w:val="19"/>
          <w:rFonts w:hint="eastAsia" w:ascii="宋体" w:hAnsi="宋体" w:eastAsia="宋体" w:cs="宋体"/>
          <w:color w:val="auto"/>
          <w:sz w:val="24"/>
          <w:szCs w:val="24"/>
        </w:rPr>
        <w:t>采购单位：</w:t>
      </w:r>
      <w:r>
        <w:rPr>
          <w:rStyle w:val="19"/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检察日报社</w:t>
      </w:r>
    </w:p>
    <w:p>
      <w:pPr>
        <w:pStyle w:val="14"/>
        <w:keepNext w:val="0"/>
        <w:keepLines w:val="0"/>
        <w:widowControl/>
        <w:suppressLineNumbers w:val="0"/>
        <w:ind w:left="1260" w:leftChars="0" w:firstLine="420" w:firstLineChars="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Style w:val="19"/>
          <w:rFonts w:hint="eastAsia" w:ascii="宋体" w:hAnsi="宋体" w:eastAsia="宋体" w:cs="宋体"/>
          <w:color w:val="auto"/>
          <w:sz w:val="24"/>
          <w:szCs w:val="24"/>
        </w:rPr>
        <w:t>日</w:t>
      </w:r>
      <w:r>
        <w:rPr>
          <w:rStyle w:val="19"/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　　</w:t>
      </w:r>
      <w:r>
        <w:rPr>
          <w:rStyle w:val="19"/>
          <w:rFonts w:hint="eastAsia" w:ascii="宋体" w:hAnsi="宋体" w:eastAsia="宋体" w:cs="宋体"/>
          <w:color w:val="auto"/>
          <w:sz w:val="24"/>
          <w:szCs w:val="24"/>
        </w:rPr>
        <w:t>期：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202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年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pStyle w:val="3"/>
        <w:keepNext w:val="0"/>
        <w:keepLines w:val="0"/>
        <w:widowControl/>
        <w:suppressLineNumbers w:val="0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br w:type="page"/>
      </w: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color w:val="auto"/>
          <w:sz w:val="44"/>
          <w:szCs w:val="44"/>
        </w:rPr>
      </w:pP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b/>
          <w:bCs/>
          <w:color w:val="auto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</w:rPr>
        <w:t>目</w:t>
      </w:r>
      <w:r>
        <w:rPr>
          <w:rFonts w:hint="eastAsia" w:ascii="宋体" w:hAnsi="宋体" w:cs="宋体"/>
          <w:b/>
          <w:bCs/>
          <w:color w:val="auto"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</w:rPr>
        <w:t>录</w:t>
      </w: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pStyle w:val="13"/>
        <w:tabs>
          <w:tab w:val="right" w:leader="dot" w:pos="8306"/>
        </w:tabs>
        <w:rPr>
          <w:rFonts w:hint="eastAsia" w:ascii="黑体" w:hAnsi="黑体" w:eastAsia="黑体" w:cs="黑体"/>
          <w:color w:val="auto"/>
          <w:sz w:val="28"/>
          <w:szCs w:val="36"/>
        </w:rPr>
      </w:pPr>
      <w:r>
        <w:rPr>
          <w:rFonts w:hint="eastAsia" w:ascii="黑体" w:hAnsi="黑体" w:eastAsia="黑体" w:cs="黑体"/>
          <w:color w:val="auto"/>
          <w:sz w:val="36"/>
          <w:szCs w:val="36"/>
        </w:rPr>
        <w:fldChar w:fldCharType="begin"/>
      </w:r>
      <w:r>
        <w:rPr>
          <w:rFonts w:hint="eastAsia" w:ascii="黑体" w:hAnsi="黑体" w:eastAsia="黑体" w:cs="黑体"/>
          <w:color w:val="auto"/>
          <w:sz w:val="36"/>
          <w:szCs w:val="36"/>
        </w:rPr>
        <w:instrText xml:space="preserve">TOC \o "1-1" \h \u </w:instrText>
      </w:r>
      <w:r>
        <w:rPr>
          <w:rFonts w:hint="eastAsia" w:ascii="黑体" w:hAnsi="黑体" w:eastAsia="黑体" w:cs="黑体"/>
          <w:color w:val="auto"/>
          <w:sz w:val="36"/>
          <w:szCs w:val="36"/>
        </w:rPr>
        <w:fldChar w:fldCharType="separate"/>
      </w:r>
      <w:r>
        <w:rPr>
          <w:rFonts w:hint="eastAsia" w:ascii="黑体" w:hAnsi="黑体" w:eastAsia="黑体" w:cs="黑体"/>
          <w:color w:val="auto"/>
          <w:sz w:val="28"/>
          <w:szCs w:val="36"/>
        </w:rPr>
        <w:fldChar w:fldCharType="begin"/>
      </w:r>
      <w:r>
        <w:rPr>
          <w:rFonts w:hint="eastAsia" w:ascii="黑体" w:hAnsi="黑体" w:eastAsia="黑体" w:cs="黑体"/>
          <w:color w:val="auto"/>
          <w:sz w:val="28"/>
          <w:szCs w:val="36"/>
        </w:rPr>
        <w:instrText xml:space="preserve"> HYPERLINK \l _Toc13705 </w:instrText>
      </w:r>
      <w:r>
        <w:rPr>
          <w:rFonts w:hint="eastAsia" w:ascii="黑体" w:hAnsi="黑体" w:eastAsia="黑体" w:cs="黑体"/>
          <w:color w:val="auto"/>
          <w:sz w:val="28"/>
          <w:szCs w:val="36"/>
        </w:rPr>
        <w:fldChar w:fldCharType="separate"/>
      </w:r>
      <w:r>
        <w:rPr>
          <w:rFonts w:hint="eastAsia" w:ascii="黑体" w:hAnsi="黑体" w:eastAsia="黑体" w:cs="黑体"/>
          <w:bCs/>
          <w:color w:val="auto"/>
          <w:sz w:val="28"/>
          <w:szCs w:val="36"/>
          <w:lang w:eastAsia="zh-CN"/>
        </w:rPr>
        <w:t>询价邀请函</w:t>
      </w:r>
      <w:r>
        <w:rPr>
          <w:rFonts w:hint="eastAsia" w:ascii="黑体" w:hAnsi="黑体" w:eastAsia="黑体" w:cs="黑体"/>
          <w:color w:val="auto"/>
          <w:sz w:val="28"/>
          <w:szCs w:val="36"/>
        </w:rPr>
        <w:tab/>
      </w:r>
      <w:r>
        <w:rPr>
          <w:rFonts w:hint="eastAsia" w:ascii="黑体" w:hAnsi="黑体" w:eastAsia="黑体" w:cs="黑体"/>
          <w:color w:val="auto"/>
          <w:sz w:val="28"/>
          <w:szCs w:val="36"/>
        </w:rPr>
        <w:fldChar w:fldCharType="begin"/>
      </w:r>
      <w:r>
        <w:rPr>
          <w:rFonts w:hint="eastAsia" w:ascii="黑体" w:hAnsi="黑体" w:eastAsia="黑体" w:cs="黑体"/>
          <w:color w:val="auto"/>
          <w:sz w:val="28"/>
          <w:szCs w:val="36"/>
        </w:rPr>
        <w:instrText xml:space="preserve"> PAGEREF _Toc13705 \h </w:instrText>
      </w:r>
      <w:r>
        <w:rPr>
          <w:rFonts w:hint="eastAsia" w:ascii="黑体" w:hAnsi="黑体" w:eastAsia="黑体" w:cs="黑体"/>
          <w:color w:val="auto"/>
          <w:sz w:val="28"/>
          <w:szCs w:val="36"/>
        </w:rPr>
        <w:fldChar w:fldCharType="separate"/>
      </w:r>
      <w:r>
        <w:rPr>
          <w:rFonts w:hint="eastAsia" w:ascii="黑体" w:hAnsi="黑体" w:eastAsia="黑体" w:cs="黑体"/>
          <w:color w:val="auto"/>
          <w:sz w:val="28"/>
          <w:szCs w:val="36"/>
        </w:rPr>
        <w:t>1</w:t>
      </w:r>
      <w:r>
        <w:rPr>
          <w:rFonts w:hint="eastAsia" w:ascii="黑体" w:hAnsi="黑体" w:eastAsia="黑体" w:cs="黑体"/>
          <w:color w:val="auto"/>
          <w:sz w:val="28"/>
          <w:szCs w:val="36"/>
        </w:rPr>
        <w:fldChar w:fldCharType="end"/>
      </w:r>
      <w:r>
        <w:rPr>
          <w:rFonts w:hint="eastAsia" w:ascii="黑体" w:hAnsi="黑体" w:eastAsia="黑体" w:cs="黑体"/>
          <w:color w:val="auto"/>
          <w:sz w:val="28"/>
          <w:szCs w:val="36"/>
        </w:rPr>
        <w:fldChar w:fldCharType="end"/>
      </w:r>
    </w:p>
    <w:p>
      <w:pPr>
        <w:pStyle w:val="13"/>
        <w:tabs>
          <w:tab w:val="right" w:leader="dot" w:pos="8306"/>
        </w:tabs>
        <w:rPr>
          <w:rFonts w:hint="eastAsia" w:ascii="黑体" w:hAnsi="黑体" w:eastAsia="黑体" w:cs="黑体"/>
          <w:color w:val="auto"/>
          <w:sz w:val="28"/>
          <w:szCs w:val="36"/>
        </w:rPr>
      </w:pPr>
      <w:r>
        <w:rPr>
          <w:rFonts w:hint="eastAsia" w:ascii="黑体" w:hAnsi="黑体" w:eastAsia="黑体" w:cs="黑体"/>
          <w:color w:val="auto"/>
          <w:sz w:val="28"/>
          <w:szCs w:val="36"/>
        </w:rPr>
        <w:fldChar w:fldCharType="begin"/>
      </w:r>
      <w:r>
        <w:rPr>
          <w:rFonts w:hint="eastAsia" w:ascii="黑体" w:hAnsi="黑体" w:eastAsia="黑体" w:cs="黑体"/>
          <w:color w:val="auto"/>
          <w:sz w:val="28"/>
          <w:szCs w:val="36"/>
        </w:rPr>
        <w:instrText xml:space="preserve"> HYPERLINK \l _Toc31737 </w:instrText>
      </w:r>
      <w:r>
        <w:rPr>
          <w:rFonts w:hint="eastAsia" w:ascii="黑体" w:hAnsi="黑体" w:eastAsia="黑体" w:cs="黑体"/>
          <w:color w:val="auto"/>
          <w:sz w:val="28"/>
          <w:szCs w:val="36"/>
        </w:rPr>
        <w:fldChar w:fldCharType="separate"/>
      </w:r>
      <w:r>
        <w:rPr>
          <w:rFonts w:hint="eastAsia" w:ascii="黑体" w:hAnsi="黑体" w:eastAsia="黑体" w:cs="黑体"/>
          <w:bCs/>
          <w:color w:val="auto"/>
          <w:sz w:val="28"/>
          <w:szCs w:val="36"/>
          <w:lang w:eastAsia="zh-CN"/>
        </w:rPr>
        <w:t>第一章</w:t>
      </w:r>
      <w:r>
        <w:rPr>
          <w:rFonts w:hint="eastAsia" w:ascii="黑体" w:hAnsi="黑体" w:eastAsia="黑体" w:cs="黑体"/>
          <w:bCs/>
          <w:color w:val="auto"/>
          <w:sz w:val="28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黑体"/>
          <w:bCs/>
          <w:color w:val="auto"/>
          <w:sz w:val="28"/>
          <w:szCs w:val="36"/>
          <w:lang w:eastAsia="zh-CN"/>
        </w:rPr>
        <w:t>供应商须知</w:t>
      </w:r>
      <w:r>
        <w:rPr>
          <w:rFonts w:hint="eastAsia" w:ascii="黑体" w:hAnsi="黑体" w:eastAsia="黑体" w:cs="黑体"/>
          <w:color w:val="auto"/>
          <w:sz w:val="28"/>
          <w:szCs w:val="36"/>
        </w:rPr>
        <w:tab/>
      </w:r>
      <w:r>
        <w:rPr>
          <w:rFonts w:hint="eastAsia" w:ascii="黑体" w:hAnsi="黑体" w:eastAsia="黑体" w:cs="黑体"/>
          <w:color w:val="auto"/>
          <w:sz w:val="28"/>
          <w:szCs w:val="36"/>
        </w:rPr>
        <w:fldChar w:fldCharType="begin"/>
      </w:r>
      <w:r>
        <w:rPr>
          <w:rFonts w:hint="eastAsia" w:ascii="黑体" w:hAnsi="黑体" w:eastAsia="黑体" w:cs="黑体"/>
          <w:color w:val="auto"/>
          <w:sz w:val="28"/>
          <w:szCs w:val="36"/>
        </w:rPr>
        <w:instrText xml:space="preserve"> PAGEREF _Toc31737 \h </w:instrText>
      </w:r>
      <w:r>
        <w:rPr>
          <w:rFonts w:hint="eastAsia" w:ascii="黑体" w:hAnsi="黑体" w:eastAsia="黑体" w:cs="黑体"/>
          <w:color w:val="auto"/>
          <w:sz w:val="28"/>
          <w:szCs w:val="36"/>
        </w:rPr>
        <w:fldChar w:fldCharType="separate"/>
      </w:r>
      <w:r>
        <w:rPr>
          <w:rFonts w:hint="eastAsia" w:ascii="黑体" w:hAnsi="黑体" w:eastAsia="黑体" w:cs="黑体"/>
          <w:color w:val="auto"/>
          <w:sz w:val="28"/>
          <w:szCs w:val="36"/>
        </w:rPr>
        <w:t>4</w:t>
      </w:r>
      <w:r>
        <w:rPr>
          <w:rFonts w:hint="eastAsia" w:ascii="黑体" w:hAnsi="黑体" w:eastAsia="黑体" w:cs="黑体"/>
          <w:color w:val="auto"/>
          <w:sz w:val="28"/>
          <w:szCs w:val="36"/>
        </w:rPr>
        <w:fldChar w:fldCharType="end"/>
      </w:r>
      <w:r>
        <w:rPr>
          <w:rFonts w:hint="eastAsia" w:ascii="黑体" w:hAnsi="黑体" w:eastAsia="黑体" w:cs="黑体"/>
          <w:color w:val="auto"/>
          <w:sz w:val="28"/>
          <w:szCs w:val="36"/>
        </w:rPr>
        <w:fldChar w:fldCharType="end"/>
      </w:r>
    </w:p>
    <w:p>
      <w:pPr>
        <w:pStyle w:val="13"/>
        <w:tabs>
          <w:tab w:val="right" w:leader="dot" w:pos="8306"/>
        </w:tabs>
        <w:rPr>
          <w:rFonts w:hint="eastAsia" w:ascii="黑体" w:hAnsi="黑体" w:eastAsia="黑体" w:cs="黑体"/>
          <w:color w:val="auto"/>
          <w:sz w:val="28"/>
          <w:szCs w:val="36"/>
        </w:rPr>
      </w:pPr>
      <w:r>
        <w:rPr>
          <w:rFonts w:hint="eastAsia" w:ascii="黑体" w:hAnsi="黑体" w:eastAsia="黑体" w:cs="黑体"/>
          <w:color w:val="auto"/>
          <w:sz w:val="28"/>
          <w:szCs w:val="36"/>
        </w:rPr>
        <w:fldChar w:fldCharType="begin"/>
      </w:r>
      <w:r>
        <w:rPr>
          <w:rFonts w:hint="eastAsia" w:ascii="黑体" w:hAnsi="黑体" w:eastAsia="黑体" w:cs="黑体"/>
          <w:color w:val="auto"/>
          <w:sz w:val="28"/>
          <w:szCs w:val="36"/>
        </w:rPr>
        <w:instrText xml:space="preserve"> HYPERLINK \l _Toc24836 </w:instrText>
      </w:r>
      <w:r>
        <w:rPr>
          <w:rFonts w:hint="eastAsia" w:ascii="黑体" w:hAnsi="黑体" w:eastAsia="黑体" w:cs="黑体"/>
          <w:color w:val="auto"/>
          <w:sz w:val="28"/>
          <w:szCs w:val="36"/>
        </w:rPr>
        <w:fldChar w:fldCharType="separate"/>
      </w:r>
      <w:r>
        <w:rPr>
          <w:rFonts w:hint="eastAsia" w:ascii="黑体" w:hAnsi="黑体" w:eastAsia="黑体" w:cs="黑体"/>
          <w:bCs/>
          <w:color w:val="auto"/>
          <w:sz w:val="28"/>
          <w:szCs w:val="36"/>
          <w:lang w:eastAsia="zh-CN"/>
        </w:rPr>
        <w:t>第二章 采购需求</w:t>
      </w:r>
      <w:r>
        <w:rPr>
          <w:rFonts w:hint="eastAsia" w:ascii="黑体" w:hAnsi="黑体" w:eastAsia="黑体" w:cs="黑体"/>
          <w:color w:val="auto"/>
          <w:sz w:val="28"/>
          <w:szCs w:val="36"/>
        </w:rPr>
        <w:tab/>
      </w:r>
      <w:r>
        <w:rPr>
          <w:rFonts w:hint="eastAsia" w:ascii="黑体" w:hAnsi="黑体" w:eastAsia="黑体" w:cs="黑体"/>
          <w:color w:val="auto"/>
          <w:sz w:val="28"/>
          <w:szCs w:val="36"/>
        </w:rPr>
        <w:fldChar w:fldCharType="begin"/>
      </w:r>
      <w:r>
        <w:rPr>
          <w:rFonts w:hint="eastAsia" w:ascii="黑体" w:hAnsi="黑体" w:eastAsia="黑体" w:cs="黑体"/>
          <w:color w:val="auto"/>
          <w:sz w:val="28"/>
          <w:szCs w:val="36"/>
        </w:rPr>
        <w:instrText xml:space="preserve"> PAGEREF _Toc24836 \h </w:instrText>
      </w:r>
      <w:r>
        <w:rPr>
          <w:rFonts w:hint="eastAsia" w:ascii="黑体" w:hAnsi="黑体" w:eastAsia="黑体" w:cs="黑体"/>
          <w:color w:val="auto"/>
          <w:sz w:val="28"/>
          <w:szCs w:val="36"/>
        </w:rPr>
        <w:fldChar w:fldCharType="separate"/>
      </w:r>
      <w:r>
        <w:rPr>
          <w:rFonts w:hint="eastAsia" w:ascii="黑体" w:hAnsi="黑体" w:eastAsia="黑体" w:cs="黑体"/>
          <w:color w:val="auto"/>
          <w:sz w:val="28"/>
          <w:szCs w:val="36"/>
        </w:rPr>
        <w:t>8</w:t>
      </w:r>
      <w:r>
        <w:rPr>
          <w:rFonts w:hint="eastAsia" w:ascii="黑体" w:hAnsi="黑体" w:eastAsia="黑体" w:cs="黑体"/>
          <w:color w:val="auto"/>
          <w:sz w:val="28"/>
          <w:szCs w:val="36"/>
        </w:rPr>
        <w:fldChar w:fldCharType="end"/>
      </w:r>
      <w:r>
        <w:rPr>
          <w:rFonts w:hint="eastAsia" w:ascii="黑体" w:hAnsi="黑体" w:eastAsia="黑体" w:cs="黑体"/>
          <w:color w:val="auto"/>
          <w:sz w:val="28"/>
          <w:szCs w:val="36"/>
        </w:rPr>
        <w:fldChar w:fldCharType="end"/>
      </w: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黑体" w:hAnsi="黑体" w:eastAsia="黑体" w:cs="黑体"/>
          <w:color w:val="auto"/>
          <w:sz w:val="28"/>
          <w:szCs w:val="36"/>
        </w:rPr>
        <w:fldChar w:fldCharType="end"/>
      </w:r>
    </w:p>
    <w:p>
      <w:pPr>
        <w:pStyle w:val="14"/>
        <w:keepNext w:val="0"/>
        <w:keepLines w:val="0"/>
        <w:widowControl/>
        <w:suppressLineNumbers w:val="0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宋体" w:hAnsi="宋体" w:eastAsia="宋体" w:cs="宋体"/>
          <w:b/>
          <w:bCs/>
          <w:color w:val="auto"/>
          <w:sz w:val="32"/>
          <w:szCs w:val="32"/>
          <w:lang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rtlGutter w:val="0"/>
          <w:docGrid w:type="lines" w:linePitch="312" w:charSpace="0"/>
        </w:sectPr>
      </w:pPr>
      <w:bookmarkStart w:id="0" w:name="_Toc1370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宋体" w:hAnsi="宋体" w:eastAsia="宋体" w:cs="宋体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eastAsia="zh-CN"/>
        </w:rPr>
        <w:t>询价邀请函</w:t>
      </w:r>
      <w:bookmarkEnd w:id="0"/>
    </w:p>
    <w:p>
      <w:pPr>
        <w:pStyle w:val="2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检察日报社就防火墙及超融合维保服务采购项目进行询价采购，欢迎符合资格条件的供应商前来报价。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一、项目基本信息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1.项目名称：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检察日报社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防火墙及超融合维保服务采购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.采购方式：询价采购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.采购内容：详见询价通知书第二章《采购需求》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.采购预算：人民币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3.8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万元（¥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38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000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.00元），报价超过预算的为无效响应。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二、供应商资格条件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1.具有合法且在有效期内的营业执照；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2.法定代表人身份证明、法定代表人授权委托书（附法定代表人身份证复印件）及被授权人身份证（法定代表人参加响应时，只需提供法定代表人身份证明）；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3.在经营活动中前三年内，在经营活动中无重大违法记录；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4.具备履行合同所必须的设备和专业技术能力的书面声明；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5.应自觉抵制商业贿赂行为；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6.本项目的特定资格要求：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1）本项目评审日前被列入失信被执行人、重大税收违法案件当事人名单、政府采购严重违法失信行为记录名单（处罚期限尚未届满的），不得参与本项目，[以本项目公告之日起“信用中国”网站（www.creditchina.gov.cn）和“中国政府采购网”（www.ccgp.gov.cn）查询记录为准]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（2）单位负责人为同一人或者存在直接控股、管理关系的不同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人，不得参加同一合同项下的采购活动；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（3）本项目不接受联合体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三、获取询价通知书时间及方式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1.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时间：202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年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19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日至202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年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26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2.方式：检察日报正义网（www.jcrb.com）“公告区”下载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四、响应文件提交信息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1.截止时间：202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年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26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日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16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时（北京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时间）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2.提交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方式：现场递交或快递寄送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地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址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：北京市石景山区香山南路109号东门（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检察日报社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3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联系人：翟老师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3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联系电话：010-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86423491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响应文件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一式叁份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正本壹份，副本贰份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，加盖公章后按文件密封要求密封，封口加盖公章。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电子版壹份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用U盘/光盘拷贝，单独密封并标注“电子响应文件”），电子版响应文件提供响应文件正本的Word版本及PDF版本。响应文件的正本和所有的副本均需打印或用不褪色的蓝（黑）墨水填写，注明“正本”“副本”字样。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逾期送达或未按要求密封的响应文件，采购人不予受理。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五、公告期限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自本公告发布之日起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个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自然日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六、其他补充事宜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参加采购项目的供应商，请于202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年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月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23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日17时前填写《登记表》后将营业执照（电子版）、登记表（Word版+盖章扫描版）发送至电子邮箱（邮箱地址详见登记表），邮件标题格式为“供应商名称-项目名称”，进行项目信息登记。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登记完成的供应商自动视为报名参与本次采购项目，可自行准备采购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文件。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、联系方式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名称：检察日报社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地址：北京市石景山区香山南路109号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联系人：翟老师     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联系方式：010-86423491</w:t>
      </w:r>
    </w:p>
    <w:p>
      <w:pPr>
        <w:pStyle w:val="2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88" w:firstLineChars="2537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检察日报社</w:t>
      </w:r>
    </w:p>
    <w:p>
      <w:pPr>
        <w:jc w:val="center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yellow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                         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202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年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19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日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yellow"/>
        </w:rPr>
        <w:br w:type="page"/>
      </w:r>
      <w:bookmarkStart w:id="1" w:name="_Toc24649"/>
      <w:bookmarkStart w:id="2" w:name="_Toc14937"/>
    </w:p>
    <w:p>
      <w:pPr>
        <w:jc w:val="center"/>
        <w:outlineLvl w:val="1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登记表</w:t>
      </w:r>
      <w:bookmarkEnd w:id="1"/>
      <w:bookmarkEnd w:id="2"/>
    </w:p>
    <w:p>
      <w:pPr>
        <w:pStyle w:val="5"/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pStyle w:val="5"/>
        <w:rPr>
          <w:rFonts w:hint="eastAsia" w:ascii="宋体" w:hAnsi="宋体" w:eastAsia="宋体" w:cs="宋体"/>
          <w:color w:val="auto"/>
          <w:sz w:val="24"/>
          <w:szCs w:val="24"/>
        </w:rPr>
      </w:pPr>
    </w:p>
    <w:tbl>
      <w:tblPr>
        <w:tblStyle w:val="17"/>
        <w:tblW w:w="81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62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</w:rPr>
              <w:t>项目名称</w:t>
            </w:r>
          </w:p>
        </w:tc>
        <w:tc>
          <w:tcPr>
            <w:tcW w:w="623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</w:rPr>
              <w:t>检察日报社防火墙及超融合维保服务采购项目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</w:rPr>
              <w:t>公司名称</w:t>
            </w:r>
          </w:p>
        </w:tc>
        <w:tc>
          <w:tcPr>
            <w:tcW w:w="623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</w:rPr>
              <w:t>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</w:rPr>
              <w:t>法人姓名</w:t>
            </w:r>
          </w:p>
        </w:tc>
        <w:tc>
          <w:tcPr>
            <w:tcW w:w="623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</w:rPr>
              <w:t>授权代表姓名</w:t>
            </w:r>
          </w:p>
        </w:tc>
        <w:tc>
          <w:tcPr>
            <w:tcW w:w="623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</w:rPr>
              <w:t>联系电话</w:t>
            </w:r>
          </w:p>
        </w:tc>
        <w:tc>
          <w:tcPr>
            <w:tcW w:w="623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3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</w:rPr>
              <w:t>备注</w:t>
            </w:r>
          </w:p>
        </w:tc>
        <w:tc>
          <w:tcPr>
            <w:tcW w:w="623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</w:rPr>
            </w:pPr>
          </w:p>
        </w:tc>
      </w:tr>
    </w:tbl>
    <w:p>
      <w:pPr>
        <w:jc w:val="right"/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</w:rPr>
      </w:pPr>
    </w:p>
    <w:p>
      <w:pPr>
        <w:jc w:val="right"/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</w:rPr>
        <w:t>日</w:t>
      </w:r>
    </w:p>
    <w:p>
      <w:pPr>
        <w:pStyle w:val="2"/>
        <w:ind w:firstLine="480" w:firstLineChars="200"/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</w:rPr>
      </w:pPr>
    </w:p>
    <w:p>
      <w:pPr>
        <w:pStyle w:val="2"/>
        <w:ind w:firstLine="480" w:firstLineChars="200"/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</w:rPr>
        <w:t>参加</w:t>
      </w: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响应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</w:rPr>
        <w:t>的供应商，填写《登记表》后将营业执照（电子版）、登记表（Word版+盖章扫描版）发送至电子邮箱（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  <w:t>jcrbjsb@163.com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</w:rPr>
        <w:t>），邮件标题格式为“供应商名称-项目名称”，进行项目信息登记。</w:t>
      </w:r>
    </w:p>
    <w:p>
      <w:pPr>
        <w:pStyle w:val="1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42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yellow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bidi="ar-SA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宋体" w:hAnsi="宋体" w:eastAsia="宋体" w:cs="宋体"/>
          <w:b/>
          <w:bCs/>
          <w:color w:val="auto"/>
          <w:sz w:val="32"/>
          <w:szCs w:val="32"/>
          <w:lang w:eastAsia="zh-CN"/>
        </w:rPr>
      </w:pPr>
      <w:bookmarkStart w:id="3" w:name="_Toc31737"/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eastAsia="zh-CN"/>
        </w:rPr>
        <w:t>第一章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eastAsia="zh-CN"/>
        </w:rPr>
        <w:t>供应商须知</w:t>
      </w:r>
      <w:bookmarkEnd w:id="3"/>
    </w:p>
    <w:p>
      <w:pPr>
        <w:pStyle w:val="2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480" w:firstLineChars="200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eastAsia="zh-CN"/>
        </w:rPr>
        <w:t>一、总则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1.适用范围：本询价通知书仅适用于本次询价采购项目。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2.定义：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“采购人”指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检察日报社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“供应商”指响应询价、参加报价的法人或其他组织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“响应文件”指供应商根据本通知书编制并提交的全部文件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480" w:firstLineChars="200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eastAsia="zh-CN"/>
        </w:rPr>
        <w:t>二、采购预算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1.本项目采购预算为人民币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3.8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万元（¥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38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000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.00元），包含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设备维保、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安装、调试、税费、运维服务等全部费用。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2.供应商报价不得超过采购预算，否则作无效响应处理。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480" w:firstLineChars="200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eastAsia="zh-CN"/>
        </w:rPr>
        <w:t>三、供应商资格条件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供应商须同时满足以下条件，并在响应文件中提供相应证明材料：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1.主体资格：具有独立法人资格，持有有效的营业执照，经营范围涵盖本次采购内容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eastAsia="zh-CN"/>
        </w:rPr>
        <w:t>。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提供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eastAsia="zh-CN"/>
        </w:rPr>
        <w:t>法定代表人身份证明、法定代表人授权委托书（附法定代表人身份证复印件）及被授权人身份证（法定代表人参加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响应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eastAsia="zh-CN"/>
        </w:rPr>
        <w:t>时，只需提供法定代表人身份证明）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.违法记录：提供参加采购活动前3年内在经营活动中没有重大违法记录的书面声明；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.信用记录：未被列入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信用中国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网站失信被执行人、重大税收违法失信主体、政府采购严重违法失信行为记录名单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eastAsia="zh-CN"/>
        </w:rPr>
        <w:t>[以本项目公告之日起“信用中国”网站（www.creditchina.gov.cn）和“中国政府采购网”（www.ccgp.gov.cn）查询记录为准]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480" w:firstLineChars="200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eastAsia="zh-CN"/>
        </w:rPr>
        <w:t>四、采购程序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1.发布询价公告：采购人在指定媒介发布询价通知书。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2.获取文件：符合条件的供应商按规定时间获取询价通知书。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3.编制响应文件：供应商按要求编制并密封提交响应文件。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.评审：采购人在规定时间组织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评审会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，询价小组对响应文件进行资格审查，对合格供应商进行比价。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.确定成交供应商：采购人根据评审结果确定成交供应商。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.发出成交通知书：采购人向成交供应商发出成交通知书。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.签订合同：成交供应商在收到成交通知书后30日内与采购人签订采购合同。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480" w:firstLineChars="200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eastAsia="zh-CN"/>
        </w:rPr>
        <w:t>五、价格构成与报价要求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2"/>
        <w:rPr>
          <w:rFonts w:hint="eastAsia" w:ascii="楷体_GB2312" w:hAnsi="楷体_GB2312" w:eastAsia="楷体_GB2312" w:cs="楷体_GB2312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24"/>
          <w:szCs w:val="24"/>
          <w:lang w:val="en-US" w:eastAsia="zh-CN"/>
        </w:rPr>
        <w:t>（一）价格构成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供应商报价应包含但不限于以下部分：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color w:val="auto"/>
          <w:highlight w:val="none"/>
          <w:lang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1.采购需求中“设备清单”相关设备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维保服务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费用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  <w:t>.安装调试费、集成费、培训费；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  <w:t>.备品备件及专用工具费；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  <w:t>.运维服务费；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  <w:t>.各项税费（增值税、附加税等）；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  <w:t>.其他为完成本项目所需的全部费用。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2"/>
        <w:rPr>
          <w:rFonts w:hint="eastAsia" w:ascii="楷体_GB2312" w:hAnsi="楷体_GB2312" w:eastAsia="楷体_GB2312" w:cs="楷体_GB2312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24"/>
          <w:szCs w:val="24"/>
          <w:lang w:val="en-US" w:eastAsia="zh-CN"/>
        </w:rPr>
        <w:t>（二）报价要求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1.报价采用人民币计价，单位精确到元，保留两位小数。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2.供应商只允许有一个报价，任何有选择的报价将不予接受。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3.报价为固定总价，在合同执行期内价格不变，不因市场价格波动而调整。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4.供应商应详细列明各项费用明细，未列明的视为已包含在总价中。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5.最低报价不能作为成交的唯一保证。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480" w:firstLineChars="200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eastAsia="zh-CN"/>
        </w:rPr>
        <w:t>六、响应文件编制要求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2"/>
        <w:rPr>
          <w:rFonts w:hint="eastAsia" w:ascii="楷体_GB2312" w:hAnsi="楷体_GB2312" w:eastAsia="楷体_GB2312" w:cs="楷体_GB2312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24"/>
          <w:szCs w:val="24"/>
          <w:lang w:val="en-US" w:eastAsia="zh-CN"/>
        </w:rPr>
        <w:t>（一）响应文件组成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响应文件应包括但不限于以下内容，按顺序装订成册：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1.报价函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2.报价明细表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3.法定代表人、被授权人身份证明及授权委托书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4.资格证明文件（营业执照、资质证书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品牌授权书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等）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5.财务状况、纳税及社保证明材料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5.参加采购活动前三年内，在经营活动中没有重大违法记录的书面声明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7.技术参数响应表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8.商务条款响应表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9.服务方案及质保承诺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10.供应商认为需要提供的其他材料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11.采购需求偏离表、评分索引表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2"/>
        <w:rPr>
          <w:rFonts w:hint="eastAsia" w:ascii="楷体_GB2312" w:hAnsi="楷体_GB2312" w:eastAsia="楷体_GB2312" w:cs="楷体_GB2312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24"/>
          <w:szCs w:val="24"/>
          <w:lang w:val="en-US" w:eastAsia="zh-CN"/>
        </w:rPr>
        <w:t>（二）编制要求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1.响应文件应打印或用不褪色墨水书写，由法定代表人或其授权代表签字并加盖公章。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2.响应文件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一式叁份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正本壹份，副本贰份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），加盖公章后按文件密封要求密封，封口加盖公章。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电子版壹份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（用U盘/光盘拷贝，单独密封并标注“电子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文件”），电子版响应文件提供响应文件正本的Word版本及PDF版本。响应文件的正本和所有的副本均需打印或用不褪色的蓝（黑）墨水填写，注明“正本”“副本”字样。正本与副本不一致时，以正本为准。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3.响应文件应装订牢固，不易散落，不得采用活页装订。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4.响应文件的正本和所有副本应分别密封，密封袋上标明项目名称、供应商名称，并在封口处加盖公章。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480" w:firstLineChars="200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eastAsia="zh-CN"/>
        </w:rPr>
        <w:t>七、提交响应文件截止时间及地点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1.截止时间：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2026年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10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月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26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日16时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（北京时间）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2.提交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方式：现场递交或快递寄送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3.地址：北京市石景山区香山南路109号东门（检察日报社）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300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联系人：翟老师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300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联系电话：010-86423491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4.逾期送达或未按要求密封的响应文件，采购人不予受理。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480" w:firstLineChars="200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val="en-US" w:eastAsia="zh-CN"/>
        </w:rPr>
        <w:t>八</w:t>
      </w: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eastAsia="zh-CN"/>
        </w:rPr>
        <w:t>、评</w:t>
      </w: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val="en-US" w:eastAsia="zh-CN"/>
        </w:rPr>
        <w:t>审</w:t>
      </w: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eastAsia="zh-CN"/>
        </w:rPr>
        <w:t>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1.评审组织：采购人依法组建询价小组，成员共3人及以上单数。评审会议由采购人主持，评审小组成员及有关工作人员参加。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2.评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审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过程的保密性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评审开始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后直至向中标人授予合同时止，凡与评审有关的资料均不得向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人及与评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审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无关人员透露。如果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人在评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审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过程中试图向采购人施加影响，其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响应文件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将被拒绝。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无效的情形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出现下列情况之一者（但不限于），按无效文件处理：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A、供应商的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报价超过采购预算的；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B、供应商未经过正常渠道获取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询价通知书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，或供应商名称与获取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询价通知书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时登记的供应商名称不符的；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C、供应商针对同一项目递交两份或多份内容不同的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询价通知书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，未书面声明哪一份是有效的或出现选择性报价的；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D、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询价通知书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在商务方面附加了采购人难以接受的条件或条款的；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E、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产品的技术参数、性能指标与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询价通知书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要求出现重大负偏差的；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供应商串通投标的情形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有下列情形之一的，视为供应商串通投标，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评审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小组应当认定其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文件无效，同时将串通投标的的供应商列入黑名单：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A、不同供应商的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文件由同一单位或者个人编制；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B、不同供应商委托同一单位或者个人办理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项目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 xml:space="preserve">事宜；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C、不同供应商的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文件载明的项目管理成员或者联系人员为同一人；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D、不同供应商的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文件异常一致或者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报价呈规律性差异；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E、不同供应商的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文件相互混装；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F、不同供应商的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保证金从同一单位或者个人的账户转出；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G、不同供应商存在关联关系的。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.评标原则和评标办法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（1）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评审小组成员应当按照客观、公正、审慎的原则，根据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评审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文件规定的评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审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程序、评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审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方法和评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审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标准进行独立评审。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文件内容违反国家有关强制性规定的，评审小组应当停止并向采购人说明情况。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（2）评审中因评审小组成员缺席、回避或者健康等特殊原因导致评审小组组成不符合规定的，依法补足后继续评审。被更换的评审小组成员所作出的评审意见无效。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（3）评审小组成员对需要共同认定的事项存在争议的，应当按照少数服从多数的原则作出结论。持不同意见的评审小组成员应当在评审报告上签署不同意见及理由，否则视为同意评审报告。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（4）评审过程中遇到特殊情况，由评审小组遵循公开、公正原则，采取投票方式按照少数服从多数原则决定。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评审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标准：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）采用综合评分法：按照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文件中规定的各项因素进行综合评审，以总平均分最高的供应商作为成交供应商的评审方法。若有两个或两个以上最高得分相同，推荐其中报价最低的供应商为成交候选供应商。评审总得分且最后报价相同的，按照技术指标优劣顺序推荐。最低报价不是成交的唯一依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）评审小组根据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评审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内容进行综合比较，自主打分，按最后得分由高到低汇总排序，并整理最终评审意见。如果评审小组出现对评审结果有不同意见的，应当书面签署不同意见和理由。评审小组拒绝在评审意见中签字又不书面说明其不同意见和理由的，视为同意评审结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评审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小组须对畸高、畸低的重大差异评分进行复核或书面说明理由。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）评审内容及分值构成（总分100分）：</w:t>
      </w:r>
    </w:p>
    <w:tbl>
      <w:tblPr>
        <w:tblStyle w:val="17"/>
        <w:tblW w:w="84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"/>
        <w:gridCol w:w="1162"/>
        <w:gridCol w:w="544"/>
        <w:gridCol w:w="6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360" w:lineRule="exact"/>
              <w:jc w:val="center"/>
              <w:outlineLvl w:val="9"/>
              <w:rPr>
                <w:rFonts w:hint="eastAsia" w:ascii="宋体" w:hAnsi="宋体" w:eastAsia="宋体" w:cs="宋体"/>
                <w:b/>
                <w:color w:val="auto"/>
                <w:spacing w:val="-6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pacing w:val="-6"/>
                <w:sz w:val="24"/>
                <w:szCs w:val="24"/>
                <w:highlight w:val="none"/>
                <w:lang w:bidi="ar-SA"/>
              </w:rPr>
              <w:t>序号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360" w:lineRule="exact"/>
              <w:jc w:val="center"/>
              <w:outlineLvl w:val="9"/>
              <w:rPr>
                <w:rFonts w:hint="eastAsia" w:ascii="宋体" w:hAnsi="宋体" w:eastAsia="宋体" w:cs="宋体"/>
                <w:b/>
                <w:color w:val="auto"/>
                <w:spacing w:val="-6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pacing w:val="-6"/>
                <w:sz w:val="24"/>
                <w:szCs w:val="24"/>
                <w:highlight w:val="none"/>
                <w:lang w:bidi="ar-SA"/>
              </w:rPr>
              <w:t>评审因素</w:t>
            </w:r>
          </w:p>
        </w:tc>
        <w:tc>
          <w:tcPr>
            <w:tcW w:w="5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360" w:lineRule="exact"/>
              <w:jc w:val="center"/>
              <w:outlineLvl w:val="9"/>
              <w:rPr>
                <w:rFonts w:hint="eastAsia" w:ascii="宋体" w:hAnsi="宋体" w:eastAsia="宋体" w:cs="宋体"/>
                <w:b/>
                <w:color w:val="auto"/>
                <w:spacing w:val="-6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pacing w:val="-6"/>
                <w:sz w:val="24"/>
                <w:szCs w:val="24"/>
                <w:highlight w:val="none"/>
                <w:lang w:bidi="ar-SA"/>
              </w:rPr>
              <w:t>分值</w:t>
            </w:r>
          </w:p>
        </w:tc>
        <w:tc>
          <w:tcPr>
            <w:tcW w:w="6269" w:type="dxa"/>
            <w:noWrap w:val="0"/>
            <w:vAlign w:val="center"/>
          </w:tcPr>
          <w:p>
            <w:pPr>
              <w:pStyle w:val="21"/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360" w:lineRule="exact"/>
              <w:outlineLvl w:val="9"/>
              <w:rPr>
                <w:rFonts w:hint="eastAsia" w:ascii="宋体" w:hAnsi="宋体" w:eastAsia="宋体" w:cs="宋体"/>
                <w:b/>
                <w:color w:val="auto"/>
                <w:spacing w:val="-6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pacing w:val="-6"/>
                <w:sz w:val="24"/>
                <w:szCs w:val="24"/>
                <w:highlight w:val="none"/>
                <w:lang w:bidi="ar-SA"/>
              </w:rPr>
              <w:t>评分细则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360" w:lineRule="exact"/>
              <w:jc w:val="center"/>
              <w:outlineLvl w:val="9"/>
              <w:rPr>
                <w:rFonts w:hint="eastAsia" w:ascii="宋体" w:hAnsi="宋体" w:eastAsia="宋体" w:cs="宋体"/>
                <w:bCs/>
                <w:color w:val="auto"/>
                <w:spacing w:val="-6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  <w:t>1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360" w:lineRule="exact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  <w:t>报价</w:t>
            </w:r>
          </w:p>
        </w:tc>
        <w:tc>
          <w:tcPr>
            <w:tcW w:w="5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360" w:lineRule="exact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  <w:t>0</w:t>
            </w:r>
          </w:p>
        </w:tc>
        <w:tc>
          <w:tcPr>
            <w:tcW w:w="62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360" w:lineRule="exact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  <w:t>价格分采用低价优先法计算，即满足采购项目要求且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响应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  <w:t>价格最低的有效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响应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  <w:t>报价为基准价，其价格分为满分：</w:t>
            </w:r>
          </w:p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360" w:lineRule="exact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bidi="ar-SA"/>
              </w:rPr>
              <w:t>报价得分=（基准价/有效响应报价）×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bidi="ar-SA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360" w:lineRule="exact"/>
              <w:jc w:val="center"/>
              <w:outlineLvl w:val="9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adjustRightInd w:val="0"/>
              <w:snapToGrid w:val="0"/>
              <w:spacing w:line="288" w:lineRule="auto"/>
              <w:jc w:val="center"/>
              <w:outlineLvl w:val="9"/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bidi="ar-SA"/>
              </w:rPr>
              <w:t>项目管理岗位业绩</w:t>
            </w:r>
          </w:p>
        </w:tc>
        <w:tc>
          <w:tcPr>
            <w:tcW w:w="544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outlineLvl w:val="9"/>
              <w:rPr>
                <w:rFonts w:hint="default" w:ascii="宋体" w:hAnsi="宋体" w:eastAsia="宋体" w:cs="宋体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15</w:t>
            </w:r>
          </w:p>
        </w:tc>
        <w:tc>
          <w:tcPr>
            <w:tcW w:w="6269" w:type="dxa"/>
            <w:noWrap w:val="0"/>
            <w:vAlign w:val="center"/>
          </w:tcPr>
          <w:p>
            <w:pPr>
              <w:tabs>
                <w:tab w:val="left" w:pos="2150"/>
              </w:tabs>
              <w:spacing w:line="360" w:lineRule="exact"/>
              <w:jc w:val="left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 w:bidi="ar-SA"/>
              </w:rPr>
              <w:t>项目管理岗位（项目经理或项目负责人）自2023年7月1日至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响应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 w:bidi="ar-SA"/>
              </w:rPr>
              <w:t>截止时间完成过类似网络安全设备维保业绩，每提供1个得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 w:bidi="ar-SA"/>
              </w:rPr>
              <w:t>分，满分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15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 w:bidi="ar-SA"/>
              </w:rPr>
              <w:t>分。</w:t>
            </w:r>
          </w:p>
          <w:p>
            <w:pPr>
              <w:tabs>
                <w:tab w:val="left" w:pos="2150"/>
              </w:tabs>
              <w:spacing w:line="360" w:lineRule="exact"/>
              <w:jc w:val="left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 w:bidi="ar-SA"/>
              </w:rPr>
              <w:t>（提供符合上述要求的合同/协议关键页作为有效的业绩证明材料。提供的证明材料必须能反映出相关信息，否则视为未提供）。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360" w:lineRule="exact"/>
              <w:jc w:val="center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textAlignment w:val="top"/>
              <w:outlineLvl w:val="9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  <w:t>项目团队</w:t>
            </w:r>
          </w:p>
        </w:tc>
        <w:tc>
          <w:tcPr>
            <w:tcW w:w="544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textAlignment w:val="top"/>
              <w:outlineLvl w:val="9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6269" w:type="dxa"/>
            <w:noWrap w:val="0"/>
            <w:vAlign w:val="center"/>
          </w:tcPr>
          <w:p>
            <w:pPr>
              <w:tabs>
                <w:tab w:val="left" w:pos="2150"/>
              </w:tabs>
              <w:spacing w:line="360" w:lineRule="exact"/>
              <w:jc w:val="left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①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项目管理岗位（项目经理或项目负责人）具有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项目管理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资格证书得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分，具有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信息安全运维类相关证书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得3分。最多得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分；</w:t>
            </w:r>
          </w:p>
          <w:p>
            <w:pPr>
              <w:tabs>
                <w:tab w:val="left" w:pos="2150"/>
              </w:tabs>
              <w:spacing w:line="360" w:lineRule="exact"/>
              <w:jc w:val="left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②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每有1位运维岗位具有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信息安全运维类相关证书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得5分。最多得10分。同一人的证书不重复计分。</w:t>
            </w:r>
          </w:p>
          <w:p>
            <w:pPr>
              <w:tabs>
                <w:tab w:val="left" w:pos="2150"/>
              </w:tabs>
              <w:spacing w:line="360" w:lineRule="exact"/>
              <w:jc w:val="left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 w:bidi="ar-SA"/>
              </w:rPr>
              <w:t>（提供上述人员有效证书复印件）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360" w:lineRule="exact"/>
              <w:jc w:val="center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textAlignment w:val="top"/>
              <w:outlineLvl w:val="9"/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  <w:t>运维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lang w:val="zh-CN" w:eastAsia="zh-CN" w:bidi="ar-SA"/>
              </w:rPr>
              <w:t>服务方案</w:t>
            </w:r>
          </w:p>
        </w:tc>
        <w:tc>
          <w:tcPr>
            <w:tcW w:w="544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textAlignment w:val="top"/>
              <w:outlineLvl w:val="9"/>
              <w:rPr>
                <w:rFonts w:hint="default" w:ascii="宋体" w:hAnsi="宋体" w:eastAsia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  <w:t>35</w:t>
            </w:r>
          </w:p>
        </w:tc>
        <w:tc>
          <w:tcPr>
            <w:tcW w:w="6269" w:type="dxa"/>
            <w:noWrap w:val="0"/>
            <w:vAlign w:val="center"/>
          </w:tcPr>
          <w:p>
            <w:pPr>
              <w:widowControl/>
              <w:spacing w:line="360" w:lineRule="exact"/>
              <w:textAlignment w:val="top"/>
              <w:outlineLvl w:val="9"/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  <w:t>供应商应提供总体技术方案，按照设备清单，提供具体可行的专业化维保方案，对项目的需求进行描述和分析，保证各设备能够在不影响采购人业务的基础上高效稳定运行。</w:t>
            </w:r>
            <w:r>
              <w:rPr>
                <w:rFonts w:hint="eastAsia" w:ascii="宋体" w:hAnsi="宋体" w:cs="宋体"/>
                <w:b/>
                <w:bCs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  <w:t>内容包括但不限于服务体系、人员配置情况、质量保障措施、文档管理措施，以及维保服务内容、服务流程、巡检报告模板等</w:t>
            </w:r>
            <w:r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  <w:t>。</w:t>
            </w:r>
          </w:p>
          <w:p>
            <w:pPr>
              <w:widowControl/>
              <w:spacing w:line="360" w:lineRule="exact"/>
              <w:textAlignment w:val="top"/>
              <w:outlineLvl w:val="9"/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  <w:t>①方案内容全面详实、科学合理，对项目需求准确深入，可操作性强，重难点分析透彻并有针对性解决措施，维保服务内容全面、服务流程严谨、巡检报告模板贴近实际得25-35分；</w:t>
            </w:r>
          </w:p>
          <w:p>
            <w:pPr>
              <w:widowControl/>
              <w:spacing w:line="360" w:lineRule="exact"/>
              <w:textAlignment w:val="top"/>
              <w:outlineLvl w:val="9"/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  <w:t>②方案内容较为完整合理，对项目需求有较好理解，具备一定可操作性，巡检报告模板比较贴近实际，得12-24分；</w:t>
            </w:r>
          </w:p>
          <w:p>
            <w:pPr>
              <w:widowControl/>
              <w:spacing w:line="360" w:lineRule="exact"/>
              <w:textAlignment w:val="top"/>
              <w:outlineLvl w:val="9"/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  <w:t>③方案内容基本完整合理，对项目需求理解一般，基本符合采购需求，但部分细节深度不足或针对性不够强，巡检报告模板未能贴合实际，得1-11分；</w:t>
            </w:r>
          </w:p>
          <w:p>
            <w:pPr>
              <w:widowControl/>
              <w:spacing w:line="360" w:lineRule="exact"/>
              <w:textAlignment w:val="top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  <w:t>④未提供方案的不得分。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9" w:hRule="atLeast"/>
        </w:trPr>
        <w:tc>
          <w:tcPr>
            <w:tcW w:w="4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topLinePunct w:val="0"/>
              <w:bidi w:val="0"/>
              <w:spacing w:line="360" w:lineRule="exact"/>
              <w:jc w:val="center"/>
              <w:outlineLvl w:val="9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bookmarkStart w:id="4" w:name="_Toc24836"/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1162" w:type="dxa"/>
            <w:noWrap w:val="0"/>
            <w:vAlign w:val="center"/>
          </w:tcPr>
          <w:p>
            <w:pPr>
              <w:widowControl/>
              <w:spacing w:line="360" w:lineRule="exact"/>
              <w:textAlignment w:val="top"/>
              <w:outlineLvl w:val="9"/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  <w:t>应急方案</w:t>
            </w:r>
          </w:p>
        </w:tc>
        <w:tc>
          <w:tcPr>
            <w:tcW w:w="544" w:type="dxa"/>
            <w:noWrap w:val="0"/>
            <w:vAlign w:val="center"/>
          </w:tcPr>
          <w:p>
            <w:pPr>
              <w:widowControl/>
              <w:spacing w:line="360" w:lineRule="exact"/>
              <w:textAlignment w:val="top"/>
              <w:outlineLvl w:val="9"/>
              <w:rPr>
                <w:rFonts w:hint="default" w:ascii="宋体" w:hAnsi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  <w:t>25</w:t>
            </w:r>
          </w:p>
        </w:tc>
        <w:tc>
          <w:tcPr>
            <w:tcW w:w="6269" w:type="dxa"/>
            <w:noWrap w:val="0"/>
            <w:vAlign w:val="center"/>
          </w:tcPr>
          <w:p>
            <w:pPr>
              <w:widowControl/>
              <w:spacing w:line="360" w:lineRule="exact"/>
              <w:textAlignment w:val="top"/>
              <w:outlineLvl w:val="9"/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  <w:t>供应商根据维保服务做好相关预案，针对可能发生的突发情况提供处置方案。</w:t>
            </w:r>
          </w:p>
          <w:p>
            <w:pPr>
              <w:widowControl/>
              <w:spacing w:line="360" w:lineRule="exact"/>
              <w:textAlignment w:val="top"/>
              <w:outlineLvl w:val="9"/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  <w:t>①方案完全满足采购文件所列全部应急要素要求，内容完整、针对性强、措施具体可行。包含但不限于应急响应机制、针对核心设备重大故障的专项处置预案、明确服务承诺等，得18-25分；</w:t>
            </w:r>
          </w:p>
          <w:p>
            <w:pPr>
              <w:widowControl/>
              <w:spacing w:line="360" w:lineRule="exact"/>
              <w:textAlignment w:val="top"/>
              <w:outlineLvl w:val="9"/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  <w:t>②方案满足大部分应急要素要求，应急响应流程和组织架构基本完整，但措施针对性或可操作性有待提升，得9-17分；</w:t>
            </w:r>
          </w:p>
          <w:p>
            <w:pPr>
              <w:widowControl/>
              <w:spacing w:line="360" w:lineRule="exact"/>
              <w:textAlignment w:val="top"/>
              <w:outlineLvl w:val="9"/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  <w:t>③方案仅满足基本要素要求，内容较为笼统</w:t>
            </w:r>
            <w:bookmarkStart w:id="5" w:name="_GoBack"/>
            <w:bookmarkEnd w:id="5"/>
            <w:r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  <w:t>，存在套用通用模板痕迹，缺乏针对本项目的具体应急措施，得1-8分；</w:t>
            </w:r>
          </w:p>
          <w:p>
            <w:pPr>
              <w:widowControl/>
              <w:spacing w:line="360" w:lineRule="exact"/>
              <w:textAlignment w:val="top"/>
              <w:outlineLvl w:val="9"/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6"/>
                <w:sz w:val="24"/>
                <w:szCs w:val="24"/>
                <w:highlight w:val="none"/>
                <w:lang w:val="en-US" w:eastAsia="zh-CN" w:bidi="ar-SA"/>
              </w:rPr>
              <w:t>④未提供的不得分。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宋体" w:hAnsi="宋体" w:eastAsia="宋体" w:cs="宋体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eastAsia="zh-CN"/>
        </w:rPr>
        <w:br w:type="page"/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eastAsia="zh-CN"/>
        </w:rPr>
        <w:t>第二章 采购需求</w:t>
      </w:r>
      <w:bookmarkEnd w:id="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2" w:firstLineChars="20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u w:val="none"/>
          <w:lang w:bidi="ar-SA"/>
        </w:rPr>
        <w:t>注：标“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u w:val="none"/>
          <w:lang w:eastAsia="zh-CN" w:bidi="ar-SA"/>
        </w:rPr>
        <w:t>★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u w:val="none"/>
          <w:lang w:bidi="ar-SA"/>
        </w:rPr>
        <w:t>”为响应的实质性要求和条件，必须作出实质性响应，否则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响应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u w:val="none"/>
          <w:lang w:bidi="ar-SA"/>
        </w:rPr>
        <w:t>无效。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bidi="ar-SA"/>
        </w:rPr>
        <w:t>（技术要求里另有注明的以技术要求为准）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480" w:firstLineChars="200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eastAsia="zh-CN"/>
        </w:rPr>
        <w:t>一、项目概况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2"/>
        <w:rPr>
          <w:rFonts w:hint="eastAsia" w:ascii="楷体_GB2312" w:hAnsi="楷体_GB2312" w:eastAsia="楷体_GB2312" w:cs="楷体_GB2312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24"/>
          <w:szCs w:val="24"/>
          <w:lang w:val="en-US" w:eastAsia="zh-CN"/>
        </w:rPr>
        <w:t>（一）项目背景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为保障日常工作开展，采购人依据本单位内部采购管理相关规定，拟通过询价采购方式实施本项目，择优选定合格供应商提供对应配套服务。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2"/>
        <w:rPr>
          <w:rFonts w:hint="eastAsia" w:ascii="楷体_GB2312" w:hAnsi="楷体_GB2312" w:eastAsia="楷体_GB2312" w:cs="楷体_GB2312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24"/>
          <w:szCs w:val="24"/>
          <w:lang w:val="en-US" w:eastAsia="zh-CN"/>
        </w:rPr>
        <w:t>（二）采购目的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通过本次采购，获取符合国家及行业标准、满足采购人实际使用需求的防火墙及超融合平台设备维保服务，实现提升运行效率、保障业务连续、满足规范要求的核心目标，为采购人各项工作开展提供稳定的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技术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服务支撑。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2"/>
        <w:rPr>
          <w:rFonts w:hint="eastAsia" w:ascii="楷体_GB2312" w:hAnsi="楷体_GB2312" w:eastAsia="楷体_GB2312" w:cs="楷体_GB2312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24"/>
          <w:szCs w:val="24"/>
          <w:lang w:val="en-US" w:eastAsia="zh-CN"/>
        </w:rPr>
        <w:t>（三）实施范围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本次采购实施范围涵盖采购标的的供货、安装调试、人员培训、验收交付、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维保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期运维保障等全流程全部工作内容；实施地点为采购人指定的办公区；项目周期自合同签订生效之日起，至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维保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期满且全部合同义务履行完毕止。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480" w:firstLineChars="200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val="en-GB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eastAsia="zh-CN"/>
        </w:rPr>
        <w:t>二、</w:t>
      </w: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val="en-GB" w:eastAsia="zh-CN"/>
        </w:rPr>
        <w:t>设备清单</w:t>
      </w:r>
    </w:p>
    <w:p>
      <w:pPr>
        <w:widowControl/>
        <w:spacing w:after="0" w:line="240" w:lineRule="auto"/>
        <w:ind w:firstLine="480" w:firstLineChars="200"/>
        <w:jc w:val="left"/>
        <w:outlineLvl w:val="9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GB"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GB" w:eastAsia="zh-CN" w:bidi="ar-SA"/>
        </w:rPr>
        <w:t>需要提供网络安全设备维保及相关服务授权的设备清单如下：</w:t>
      </w:r>
    </w:p>
    <w:tbl>
      <w:tblPr>
        <w:tblStyle w:val="17"/>
        <w:tblW w:w="8318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920"/>
        <w:gridCol w:w="973"/>
        <w:gridCol w:w="1534"/>
        <w:gridCol w:w="693"/>
        <w:gridCol w:w="34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防火墙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深信服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AF-1320-JQ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1台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包含一年内的产品硬件质保、软件升级、安全特征库和URL库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超融合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深信服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aServer-R-1600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3台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包含一年内的产品硬件质保、软件升级</w:t>
            </w:r>
          </w:p>
        </w:tc>
      </w:tr>
    </w:tbl>
    <w:p>
      <w:pPr>
        <w:rPr>
          <w:rFonts w:hint="eastAsia"/>
          <w:color w:val="auto"/>
          <w:lang w:val="en-GB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480" w:firstLineChars="200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val="en-US" w:eastAsia="zh-CN"/>
        </w:rPr>
        <w:t>三、技术服务要求</w:t>
      </w:r>
    </w:p>
    <w:p>
      <w:pPr>
        <w:widowControl/>
        <w:spacing w:after="0" w:line="240" w:lineRule="auto"/>
        <w:ind w:firstLine="480" w:firstLineChars="200"/>
        <w:jc w:val="left"/>
        <w:outlineLvl w:val="9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1.供应商应为本项目配备服务团队，由项目管理岗位及运维岗位组成，不驻场，团队和岗位应具有相关运维服务经验，提供相关证明材料。</w:t>
      </w:r>
    </w:p>
    <w:p>
      <w:pPr>
        <w:widowControl/>
        <w:spacing w:after="0" w:line="240" w:lineRule="auto"/>
        <w:ind w:firstLine="480" w:firstLineChars="200"/>
        <w:jc w:val="left"/>
        <w:outlineLvl w:val="9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2.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eastAsia="zh-CN" w:bidi="ar-SA"/>
        </w:rPr>
        <w:t>维保服务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要求</w:t>
      </w:r>
    </w:p>
    <w:p>
      <w:pPr>
        <w:widowControl/>
        <w:spacing w:after="0" w:line="240" w:lineRule="auto"/>
        <w:ind w:firstLine="480" w:firstLineChars="200"/>
        <w:jc w:val="left"/>
        <w:outlineLvl w:val="9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eastAsia="zh-CN" w:bidi="ar-SA"/>
        </w:rPr>
        <w:t>（1）提供设备生产厂商工程师现场应急兜底支持服务。当供应商在规定时限处置仍无法排除故障，供应商须在第一时间协调设备生产厂商工程师到达现场，协助开展现场故障诊断及故障排除，直至故障闭环解决。</w:t>
      </w:r>
    </w:p>
    <w:p>
      <w:pPr>
        <w:widowControl/>
        <w:spacing w:after="0" w:line="240" w:lineRule="auto"/>
        <w:ind w:firstLine="480" w:firstLineChars="200"/>
        <w:jc w:val="left"/>
        <w:outlineLvl w:val="9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eastAsia="zh-CN" w:bidi="ar-SA"/>
        </w:rPr>
        <w:t>（2）硬件故障，涉及设备部件更换的，所提供的配件必须是正规渠道全新配件；若对应型号配件已停产无全新配件货源，经采购方同意后，可提供经过设备生产厂商或第三方严格测试认证的良品配件（其性能、质量和可靠性不得低于原件，且固件版本须与现有系统完全兼容）。</w:t>
      </w:r>
    </w:p>
    <w:p>
      <w:pPr>
        <w:widowControl/>
        <w:spacing w:after="0" w:line="240" w:lineRule="auto"/>
        <w:ind w:firstLine="480" w:firstLineChars="200"/>
        <w:jc w:val="left"/>
        <w:outlineLvl w:val="9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eastAsia="zh-CN" w:bidi="ar-SA"/>
        </w:rPr>
        <w:t>（3）提供设备软件版本升级服务。能够针对最新爆发的网络安全漏洞提供分级响应、例行迭代，每3个月进行一次版本评估。若官方公开发布设备最新稳定版本固件，供应商应根据设备运行状态、漏洞风险、版本兼容性及业务影响等因素，对设备软件版本进行评估。经采购人确认确有必要升级的，供应商应提供详细的升级方案及应急回退预案，协助完成核心配置和数据备份，并对升级后的数据流通情况进行检查。若升级异常，应立即按照既定预案进行回退处置，120分钟内完成回退操作，确保业务正常。</w:t>
      </w:r>
    </w:p>
    <w:p>
      <w:pPr>
        <w:widowControl/>
        <w:spacing w:after="0" w:line="240" w:lineRule="auto"/>
        <w:ind w:firstLine="480" w:firstLineChars="200"/>
        <w:jc w:val="left"/>
        <w:outlineLvl w:val="9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eastAsia="zh-CN" w:bidi="ar-SA"/>
        </w:rPr>
        <w:t>（4）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提供每月一次上门巡查，包括但不限于设备基础状态（硬件状态、系统资源、日志分析、接口状态、指示灯、散热情况）检查、网络与通信（连通性）、配置审计、设备配置备份等；每次巡检结束后，需在72小时内向采购人提交巡检报告。</w:t>
      </w:r>
    </w:p>
    <w:p>
      <w:pPr>
        <w:widowControl/>
        <w:spacing w:after="0" w:line="240" w:lineRule="auto"/>
        <w:ind w:firstLine="480" w:firstLineChars="200"/>
        <w:jc w:val="left"/>
        <w:outlineLvl w:val="9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eastAsia="zh-CN" w:bidi="ar-SA"/>
        </w:rPr>
        <w:t>在签订合同后30天内，供应商应对部分维保设备提供12个月的授权有效期（详见设备清单）。</w:t>
      </w:r>
    </w:p>
    <w:p>
      <w:pPr>
        <w:widowControl/>
        <w:spacing w:after="0" w:line="240" w:lineRule="auto"/>
        <w:ind w:firstLine="480" w:firstLineChars="200"/>
        <w:jc w:val="left"/>
        <w:outlineLvl w:val="9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eastAsia="zh-CN" w:bidi="ar-SA"/>
        </w:rPr>
        <w:t>4.响应时限要求。</w:t>
      </w:r>
    </w:p>
    <w:p>
      <w:pPr>
        <w:widowControl/>
        <w:spacing w:after="0" w:line="240" w:lineRule="auto"/>
        <w:ind w:firstLine="480" w:firstLineChars="200"/>
        <w:jc w:val="left"/>
        <w:outlineLvl w:val="9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eastAsia="zh-CN" w:bidi="ar-SA"/>
        </w:rPr>
        <w:t>供应商应为采购人提供7×24小时电话响应服务，提供工作日5×8小时按需现场技术支持服务，根据情况划分严重级别，并根据严重级别作出相应响应，提供现场支持服务。</w:t>
      </w:r>
    </w:p>
    <w:p>
      <w:pPr>
        <w:widowControl/>
        <w:spacing w:after="0" w:line="240" w:lineRule="auto"/>
        <w:ind w:firstLine="480" w:firstLineChars="200"/>
        <w:jc w:val="left"/>
        <w:outlineLvl w:val="9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故障分级响应机制如下：</w:t>
      </w:r>
    </w:p>
    <w:p>
      <w:pPr>
        <w:widowControl/>
        <w:spacing w:after="0" w:line="240" w:lineRule="auto"/>
        <w:ind w:firstLine="480" w:firstLineChars="200"/>
        <w:jc w:val="left"/>
        <w:outlineLvl w:val="9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eastAsia="zh-CN" w:bidi="ar-SA"/>
        </w:rPr>
        <w:t>优先级1(P1)：产品不能正常工作，影响用户业务；由于安全问题使得网络、系统无法正常运转；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2-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3小时内到达现场排查修复。</w:t>
      </w:r>
    </w:p>
    <w:p>
      <w:pPr>
        <w:widowControl/>
        <w:spacing w:after="0" w:line="240" w:lineRule="auto"/>
        <w:ind w:firstLine="480" w:firstLineChars="200"/>
        <w:jc w:val="left"/>
        <w:outlineLvl w:val="9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eastAsia="zh-CN" w:bidi="ar-SA"/>
        </w:rPr>
        <w:t>优先级2(P2)：产品能够工作，但部分功能失效，性能下降，但不致中断用户业务；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6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-8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小时内到达现场排查修复。</w:t>
      </w:r>
    </w:p>
    <w:p>
      <w:pPr>
        <w:widowControl/>
        <w:spacing w:after="0" w:line="240" w:lineRule="auto"/>
        <w:ind w:firstLine="480" w:firstLineChars="200"/>
        <w:jc w:val="left"/>
        <w:outlineLvl w:val="9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eastAsia="zh-CN" w:bidi="ar-SA"/>
        </w:rPr>
        <w:t>优先级3(P3)：运行尚可，但出现系统报错；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12小时内到达现场排查修复。</w:t>
      </w:r>
    </w:p>
    <w:p>
      <w:pPr>
        <w:widowControl/>
        <w:spacing w:after="0" w:line="240" w:lineRule="auto"/>
        <w:ind w:firstLine="480" w:firstLineChars="200"/>
        <w:jc w:val="left"/>
        <w:outlineLvl w:val="9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eastAsia="zh-CN" w:bidi="ar-SA"/>
        </w:rPr>
        <w:t>优先级4(P4)：用户对产品改进的问题，或产品应用问题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；24小时内到达现场排查修复。</w:t>
      </w:r>
    </w:p>
    <w:p>
      <w:pPr>
        <w:widowControl/>
        <w:spacing w:after="0" w:line="240" w:lineRule="auto"/>
        <w:ind w:firstLine="480" w:firstLineChars="200"/>
        <w:jc w:val="left"/>
        <w:outlineLvl w:val="9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eastAsia="zh-CN" w:bidi="ar-SA"/>
        </w:rPr>
        <w:t>故障等级由采购人根据故障影响范围、影响程度及业务连续性情况进行判定；供应商不得因对故障等级存在异议延误修复，应先按照采购人确定的故障等级开展修复。</w:t>
      </w:r>
    </w:p>
    <w:p>
      <w:pPr>
        <w:widowControl/>
        <w:spacing w:after="0" w:line="240" w:lineRule="auto"/>
        <w:ind w:firstLine="480" w:firstLineChars="200"/>
        <w:jc w:val="left"/>
        <w:outlineLvl w:val="9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5.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eastAsia="zh-CN" w:bidi="ar-SA"/>
        </w:rPr>
        <w:t>服务期内，必须由专业技术人员负责对采购人的设备进行维修和更换故障部件，更换的设备或部件应当与原设备或部件在功能、性能、兼容性及安全性等方面相匹配，并满足设备生产厂商发布的技术规范或兼容性要求。</w:t>
      </w:r>
    </w:p>
    <w:p>
      <w:pPr>
        <w:widowControl/>
        <w:spacing w:after="0" w:line="240" w:lineRule="auto"/>
        <w:ind w:firstLine="480" w:firstLineChars="200"/>
        <w:jc w:val="left"/>
        <w:outlineLvl w:val="9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6.重大故障需要外送检修的，应在24小时内派专人现场更换配件或提供备用设备（备用设备应满足原设备承担业务所需的核心功能、性能、接口数量、吞吐能力、安全能力及兼容性要求，关键性能指标不能低于原设备性能要求，确保业务不中断，备机抵达现场时间为24小时以内，维修时间不得超过30天）。</w:t>
      </w:r>
    </w:p>
    <w:p>
      <w:pPr>
        <w:widowControl/>
        <w:spacing w:after="0" w:line="240" w:lineRule="auto"/>
        <w:ind w:firstLine="480" w:firstLineChars="200"/>
        <w:jc w:val="left"/>
        <w:outlineLvl w:val="9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 w:bidi="ar-SA"/>
        </w:rPr>
        <w:t>7.培训：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eastAsia="zh-CN" w:bidi="ar-SA"/>
        </w:rPr>
        <w:t>为用户提供两次产品培训机会，时间由双方协商而定。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480" w:firstLineChars="200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eastAsia="zh-CN"/>
        </w:rPr>
        <w:t>、商务要求</w:t>
      </w:r>
    </w:p>
    <w:tbl>
      <w:tblPr>
        <w:tblStyle w:val="17"/>
        <w:tblW w:w="8296" w:type="dxa"/>
        <w:tblInd w:w="1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1"/>
        <w:gridCol w:w="69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2" w:hRule="atLeast"/>
        </w:trPr>
        <w:tc>
          <w:tcPr>
            <w:tcW w:w="1371" w:type="dxa"/>
            <w:noWrap w:val="0"/>
            <w:vAlign w:val="center"/>
          </w:tcPr>
          <w:p>
            <w:pPr>
              <w:spacing w:after="0" w:line="240" w:lineRule="auto"/>
              <w:jc w:val="center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合同金额结算及支付方式</w:t>
            </w:r>
          </w:p>
        </w:tc>
        <w:tc>
          <w:tcPr>
            <w:tcW w:w="6925" w:type="dxa"/>
            <w:noWrap w:val="0"/>
            <w:vAlign w:val="center"/>
          </w:tcPr>
          <w:p>
            <w:pPr>
              <w:widowControl/>
              <w:spacing w:after="0" w:line="240" w:lineRule="auto"/>
              <w:jc w:val="left"/>
              <w:outlineLvl w:val="9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①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u w:val="none"/>
                <w:lang w:bidi="ar-SA"/>
              </w:rPr>
              <w:t>合同签订后，乙方提供等额增值税专用发票后的10个工作日内甲方支付本合同金额的50%；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u w:val="none"/>
                <w:lang w:bidi="ar-SA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u w:val="none"/>
                <w:lang w:bidi="ar-SA"/>
              </w:rPr>
              <w:t>乙方完成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服务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u w:val="none"/>
                <w:lang w:bidi="ar-SA"/>
              </w:rPr>
              <w:t>，甲方验收合格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后，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u w:val="none"/>
                <w:lang w:bidi="ar-SA"/>
              </w:rPr>
              <w:t>乙方提供等额增值税专用发票后的10个工作日内甲方支付本合同金额的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45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u w:val="none"/>
                <w:lang w:bidi="ar-SA"/>
              </w:rPr>
              <w:t>%；</w:t>
            </w:r>
          </w:p>
          <w:p>
            <w:pPr>
              <w:widowControl/>
              <w:spacing w:after="0" w:line="240" w:lineRule="auto"/>
              <w:jc w:val="left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③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维保服务期满后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u w:val="none"/>
                <w:lang w:bidi="ar-SA"/>
              </w:rPr>
              <w:t>，乙方提供等额增值税专用发票后的10个工作日内甲方支付本合同金额的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u w:val="none"/>
                <w:lang w:bidi="ar-SA"/>
              </w:rPr>
              <w:t>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1" w:type="dxa"/>
            <w:noWrap w:val="0"/>
            <w:vAlign w:val="center"/>
          </w:tcPr>
          <w:p>
            <w:pPr>
              <w:spacing w:after="0" w:line="240" w:lineRule="auto"/>
              <w:jc w:val="center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交付日期</w:t>
            </w:r>
          </w:p>
        </w:tc>
        <w:tc>
          <w:tcPr>
            <w:tcW w:w="69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Cs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合同签订后3</w:t>
            </w:r>
            <w:r>
              <w:rPr>
                <w:rFonts w:hint="eastAsia" w:ascii="宋体" w:hAnsi="宋体" w:cs="宋体"/>
                <w:iCs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iCs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日历天内完成供货，并一次性验收合格。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1" w:type="dxa"/>
            <w:noWrap w:val="0"/>
            <w:vAlign w:val="center"/>
          </w:tcPr>
          <w:p>
            <w:pPr>
              <w:spacing w:after="0" w:line="240" w:lineRule="auto"/>
              <w:jc w:val="center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交货地点</w:t>
            </w:r>
          </w:p>
        </w:tc>
        <w:tc>
          <w:tcPr>
            <w:tcW w:w="6925" w:type="dxa"/>
            <w:noWrap w:val="0"/>
            <w:vAlign w:val="center"/>
          </w:tcPr>
          <w:p>
            <w:pPr>
              <w:widowControl/>
              <w:spacing w:after="0" w:line="240" w:lineRule="auto"/>
              <w:jc w:val="left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采购人指定地点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1" w:type="dxa"/>
            <w:noWrap w:val="0"/>
            <w:vAlign w:val="center"/>
          </w:tcPr>
          <w:p>
            <w:pPr>
              <w:spacing w:after="0" w:line="240" w:lineRule="auto"/>
              <w:jc w:val="center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维保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期</w:t>
            </w:r>
          </w:p>
        </w:tc>
        <w:tc>
          <w:tcPr>
            <w:tcW w:w="6925" w:type="dxa"/>
            <w:noWrap w:val="0"/>
            <w:vAlign w:val="center"/>
          </w:tcPr>
          <w:p>
            <w:pPr>
              <w:widowControl/>
              <w:spacing w:after="0" w:line="240" w:lineRule="auto"/>
              <w:jc w:val="left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u w:val="none"/>
                <w:lang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一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年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维保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期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，维保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期内免费上门维修、维护或更换。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1" w:type="dxa"/>
            <w:noWrap w:val="0"/>
            <w:vAlign w:val="center"/>
          </w:tcPr>
          <w:p>
            <w:pPr>
              <w:spacing w:after="0" w:line="240" w:lineRule="auto"/>
              <w:jc w:val="center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bidi="ar-SA"/>
              </w:rPr>
              <w:t>验收标准</w:t>
            </w:r>
          </w:p>
        </w:tc>
        <w:tc>
          <w:tcPr>
            <w:tcW w:w="6925" w:type="dxa"/>
            <w:noWrap w:val="0"/>
            <w:vAlign w:val="center"/>
          </w:tcPr>
          <w:p>
            <w:pPr>
              <w:widowControl/>
              <w:spacing w:after="0" w:line="240" w:lineRule="auto"/>
              <w:jc w:val="left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1、乙方配合甲方的验收工作，根据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询价通知书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、响应文件、采购合同等约定的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相关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服务要求设置验收标准。</w:t>
            </w:r>
          </w:p>
          <w:p>
            <w:pPr>
              <w:widowControl/>
              <w:spacing w:after="0" w:line="240" w:lineRule="auto"/>
              <w:jc w:val="left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、如验收不合格的，乙方应采取补救措施，及时处理。整改结束后，重新组织验收。</w:t>
            </w:r>
          </w:p>
          <w:p>
            <w:pPr>
              <w:widowControl/>
              <w:spacing w:after="0" w:line="240" w:lineRule="auto"/>
              <w:jc w:val="left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4、未尽事宜，按《中华人民共和国民法典》、《中华人民共和国招标投标法》等相关法律法规、规定执行。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1" w:type="dxa"/>
            <w:noWrap w:val="0"/>
            <w:vAlign w:val="center"/>
          </w:tcPr>
          <w:p>
            <w:pPr>
              <w:widowControl/>
              <w:snapToGrid w:val="0"/>
              <w:spacing w:line="240" w:lineRule="auto"/>
              <w:jc w:val="both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bidi="ar-SA"/>
              </w:rPr>
              <w:t>其他技术、服务要求</w:t>
            </w:r>
          </w:p>
        </w:tc>
        <w:tc>
          <w:tcPr>
            <w:tcW w:w="6925" w:type="dxa"/>
            <w:noWrap w:val="0"/>
            <w:vAlign w:val="center"/>
          </w:tcPr>
          <w:p>
            <w:pPr>
              <w:widowControl/>
              <w:spacing w:after="0" w:line="240" w:lineRule="auto"/>
              <w:jc w:val="left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.供货时提供有关的技术文件；</w:t>
            </w:r>
          </w:p>
          <w:p>
            <w:pPr>
              <w:widowControl/>
              <w:spacing w:after="0" w:line="240" w:lineRule="auto"/>
              <w:jc w:val="left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人保证所供产品符合国家有关规定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并保证所供产品具有合法的版权或使用权，本项目采购的产品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/服务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，如在本项目范围内使用过程中出现版权或使用权纠纷，由中标人负责，采购人不承担任何责任。</w:t>
            </w:r>
          </w:p>
          <w:p>
            <w:pPr>
              <w:widowControl/>
              <w:spacing w:after="0" w:line="240" w:lineRule="auto"/>
              <w:jc w:val="left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人在报价时应考虑人力成本和运输成本以及实际场地的突发情况。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right="359" w:rightChars="17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right="359" w:rightChars="17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1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A5B11"/>
    <w:rsid w:val="00985E7D"/>
    <w:rsid w:val="00AA2AFE"/>
    <w:rsid w:val="02D86C8B"/>
    <w:rsid w:val="03851DD9"/>
    <w:rsid w:val="04393618"/>
    <w:rsid w:val="05161D94"/>
    <w:rsid w:val="05A5029D"/>
    <w:rsid w:val="063C4B3B"/>
    <w:rsid w:val="06C4367A"/>
    <w:rsid w:val="07E0773A"/>
    <w:rsid w:val="08486520"/>
    <w:rsid w:val="08A62CC0"/>
    <w:rsid w:val="08F80099"/>
    <w:rsid w:val="09432AEE"/>
    <w:rsid w:val="0A173862"/>
    <w:rsid w:val="0A5E0FA4"/>
    <w:rsid w:val="0AEF71A5"/>
    <w:rsid w:val="0B146BF9"/>
    <w:rsid w:val="0B173867"/>
    <w:rsid w:val="0B9D616A"/>
    <w:rsid w:val="0E5C1D80"/>
    <w:rsid w:val="0E8737CE"/>
    <w:rsid w:val="0E9F68A4"/>
    <w:rsid w:val="0F5B34BA"/>
    <w:rsid w:val="0FBC30F4"/>
    <w:rsid w:val="10994588"/>
    <w:rsid w:val="11AF3121"/>
    <w:rsid w:val="11E459A1"/>
    <w:rsid w:val="139E0F8A"/>
    <w:rsid w:val="1441153B"/>
    <w:rsid w:val="14413B07"/>
    <w:rsid w:val="15276973"/>
    <w:rsid w:val="15DF7038"/>
    <w:rsid w:val="16B946CF"/>
    <w:rsid w:val="16FC29C4"/>
    <w:rsid w:val="17A41D0D"/>
    <w:rsid w:val="17C96404"/>
    <w:rsid w:val="18F040F9"/>
    <w:rsid w:val="197E03DA"/>
    <w:rsid w:val="1A4E2FB5"/>
    <w:rsid w:val="1AD67B64"/>
    <w:rsid w:val="1AF01848"/>
    <w:rsid w:val="1AF343B6"/>
    <w:rsid w:val="1B072EA4"/>
    <w:rsid w:val="1BE70AEF"/>
    <w:rsid w:val="1D433B34"/>
    <w:rsid w:val="1D60233E"/>
    <w:rsid w:val="1DC14CCC"/>
    <w:rsid w:val="1DD5063D"/>
    <w:rsid w:val="1E5063DA"/>
    <w:rsid w:val="1EBF0895"/>
    <w:rsid w:val="1F235B0E"/>
    <w:rsid w:val="1F632E0F"/>
    <w:rsid w:val="22A45D6C"/>
    <w:rsid w:val="24654027"/>
    <w:rsid w:val="24672B31"/>
    <w:rsid w:val="24B6127D"/>
    <w:rsid w:val="2601741A"/>
    <w:rsid w:val="268D55EC"/>
    <w:rsid w:val="2694197E"/>
    <w:rsid w:val="26BB4FFA"/>
    <w:rsid w:val="278A3F1B"/>
    <w:rsid w:val="28AC2A0D"/>
    <w:rsid w:val="29090661"/>
    <w:rsid w:val="29805060"/>
    <w:rsid w:val="29932C56"/>
    <w:rsid w:val="29EF54F8"/>
    <w:rsid w:val="2A530E4D"/>
    <w:rsid w:val="2B676775"/>
    <w:rsid w:val="2BF672B2"/>
    <w:rsid w:val="2C2244B5"/>
    <w:rsid w:val="2E75303F"/>
    <w:rsid w:val="2EDD6932"/>
    <w:rsid w:val="2EEA3AEB"/>
    <w:rsid w:val="306E3ED7"/>
    <w:rsid w:val="30766B45"/>
    <w:rsid w:val="33434585"/>
    <w:rsid w:val="3351256F"/>
    <w:rsid w:val="33710B1C"/>
    <w:rsid w:val="339C7809"/>
    <w:rsid w:val="3560314E"/>
    <w:rsid w:val="36DC5233"/>
    <w:rsid w:val="36EB0A23"/>
    <w:rsid w:val="374B7F62"/>
    <w:rsid w:val="382E711D"/>
    <w:rsid w:val="38D05EFF"/>
    <w:rsid w:val="399E0FE0"/>
    <w:rsid w:val="3A0071FE"/>
    <w:rsid w:val="3A3939F6"/>
    <w:rsid w:val="3A5B4807"/>
    <w:rsid w:val="3B98627F"/>
    <w:rsid w:val="3BD014F0"/>
    <w:rsid w:val="3BF2689B"/>
    <w:rsid w:val="3D0455B0"/>
    <w:rsid w:val="3D1A188A"/>
    <w:rsid w:val="3E78700D"/>
    <w:rsid w:val="3E7D6F82"/>
    <w:rsid w:val="3E942880"/>
    <w:rsid w:val="3F306278"/>
    <w:rsid w:val="402E72DA"/>
    <w:rsid w:val="40F43DE8"/>
    <w:rsid w:val="4232654F"/>
    <w:rsid w:val="42940506"/>
    <w:rsid w:val="42DF29B4"/>
    <w:rsid w:val="433971D6"/>
    <w:rsid w:val="433B35AE"/>
    <w:rsid w:val="44187EC3"/>
    <w:rsid w:val="44745DF9"/>
    <w:rsid w:val="44BD2487"/>
    <w:rsid w:val="45CE067E"/>
    <w:rsid w:val="461A523C"/>
    <w:rsid w:val="465A15CF"/>
    <w:rsid w:val="46DA321C"/>
    <w:rsid w:val="479A7464"/>
    <w:rsid w:val="47B36031"/>
    <w:rsid w:val="48064A24"/>
    <w:rsid w:val="49080389"/>
    <w:rsid w:val="498315BF"/>
    <w:rsid w:val="49F96969"/>
    <w:rsid w:val="4AA50DDD"/>
    <w:rsid w:val="4AB608E4"/>
    <w:rsid w:val="4B06642D"/>
    <w:rsid w:val="4CE1310C"/>
    <w:rsid w:val="4D2A0DDA"/>
    <w:rsid w:val="4D6D3115"/>
    <w:rsid w:val="4D802671"/>
    <w:rsid w:val="4DB316D4"/>
    <w:rsid w:val="4DD03040"/>
    <w:rsid w:val="4E3C120D"/>
    <w:rsid w:val="4FA03765"/>
    <w:rsid w:val="5007630E"/>
    <w:rsid w:val="514364CA"/>
    <w:rsid w:val="51B938A7"/>
    <w:rsid w:val="52582E7C"/>
    <w:rsid w:val="527668E4"/>
    <w:rsid w:val="531A55B1"/>
    <w:rsid w:val="54165903"/>
    <w:rsid w:val="545E1E79"/>
    <w:rsid w:val="561843C9"/>
    <w:rsid w:val="566B690C"/>
    <w:rsid w:val="567C0AA8"/>
    <w:rsid w:val="56ED2430"/>
    <w:rsid w:val="58B42629"/>
    <w:rsid w:val="5A6A2C63"/>
    <w:rsid w:val="5B3A24D0"/>
    <w:rsid w:val="5BF47D4B"/>
    <w:rsid w:val="5C3E5A18"/>
    <w:rsid w:val="5CD25204"/>
    <w:rsid w:val="5DB5381D"/>
    <w:rsid w:val="5E9F122D"/>
    <w:rsid w:val="5F913D9A"/>
    <w:rsid w:val="5FB10E83"/>
    <w:rsid w:val="5FB50E2A"/>
    <w:rsid w:val="601B6CE3"/>
    <w:rsid w:val="60210839"/>
    <w:rsid w:val="60793B15"/>
    <w:rsid w:val="614373EC"/>
    <w:rsid w:val="62A84F9D"/>
    <w:rsid w:val="63660435"/>
    <w:rsid w:val="637F581E"/>
    <w:rsid w:val="662A6700"/>
    <w:rsid w:val="664F32D2"/>
    <w:rsid w:val="66DD2569"/>
    <w:rsid w:val="67554D03"/>
    <w:rsid w:val="682F12F5"/>
    <w:rsid w:val="68A97CC5"/>
    <w:rsid w:val="695106DA"/>
    <w:rsid w:val="69EC3828"/>
    <w:rsid w:val="6AA10C56"/>
    <w:rsid w:val="6AF76137"/>
    <w:rsid w:val="6AF7713E"/>
    <w:rsid w:val="6B092CA7"/>
    <w:rsid w:val="6B6901CF"/>
    <w:rsid w:val="6CB336AC"/>
    <w:rsid w:val="6EB4251A"/>
    <w:rsid w:val="71CC5E5F"/>
    <w:rsid w:val="71D2489C"/>
    <w:rsid w:val="7231463C"/>
    <w:rsid w:val="74C276BC"/>
    <w:rsid w:val="7542053D"/>
    <w:rsid w:val="75CE758B"/>
    <w:rsid w:val="75D66501"/>
    <w:rsid w:val="767E700C"/>
    <w:rsid w:val="76986858"/>
    <w:rsid w:val="774358F6"/>
    <w:rsid w:val="775B544F"/>
    <w:rsid w:val="77835055"/>
    <w:rsid w:val="77D5668B"/>
    <w:rsid w:val="783565D2"/>
    <w:rsid w:val="788901A6"/>
    <w:rsid w:val="799C41A3"/>
    <w:rsid w:val="7B20295A"/>
    <w:rsid w:val="7BB47357"/>
    <w:rsid w:val="7BBD7891"/>
    <w:rsid w:val="7C10627A"/>
    <w:rsid w:val="7C4B3A15"/>
    <w:rsid w:val="7C88141F"/>
    <w:rsid w:val="7D2C4DB9"/>
    <w:rsid w:val="7D987831"/>
    <w:rsid w:val="7E4E5255"/>
    <w:rsid w:val="7ED53BF8"/>
    <w:rsid w:val="7F6C65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8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5">
    <w:name w:val="Body Text 3"/>
    <w:basedOn w:val="1"/>
    <w:qFormat/>
    <w:uiPriority w:val="0"/>
    <w:rPr>
      <w:sz w:val="16"/>
      <w:szCs w:val="16"/>
    </w:rPr>
  </w:style>
  <w:style w:type="paragraph" w:styleId="6">
    <w:name w:val="Body Text Indent"/>
    <w:basedOn w:val="1"/>
    <w:next w:val="7"/>
    <w:qFormat/>
    <w:uiPriority w:val="0"/>
    <w:pPr>
      <w:ind w:left="200" w:hanging="200" w:hangingChars="200"/>
    </w:pPr>
    <w:rPr>
      <w:sz w:val="24"/>
    </w:rPr>
  </w:style>
  <w:style w:type="paragraph" w:customStyle="1" w:styleId="7">
    <w:name w:val="样式 正文文本缩进 + 首行缩进:  2 字符 行距: 1.5 倍行距"/>
    <w:basedOn w:val="6"/>
    <w:qFormat/>
    <w:uiPriority w:val="0"/>
    <w:pPr>
      <w:ind w:firstLine="560"/>
    </w:pPr>
    <w:rPr>
      <w:rFonts w:eastAsia="仿宋_GB2312"/>
    </w:rPr>
  </w:style>
  <w:style w:type="paragraph" w:styleId="8">
    <w:name w:val="Block Text"/>
    <w:basedOn w:val="1"/>
    <w:uiPriority w:val="0"/>
    <w:pPr>
      <w:spacing w:after="120"/>
      <w:ind w:left="700" w:leftChars="700" w:right="700" w:rightChars="700"/>
    </w:pPr>
  </w:style>
  <w:style w:type="paragraph" w:styleId="9">
    <w:name w:val="Plain Text"/>
    <w:basedOn w:val="1"/>
    <w:qFormat/>
    <w:uiPriority w:val="0"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宋体" w:hAnsi="Courier New"/>
      <w:sz w:val="24"/>
    </w:rPr>
  </w:style>
  <w:style w:type="paragraph" w:styleId="10">
    <w:name w:val="Date"/>
    <w:basedOn w:val="1"/>
    <w:next w:val="1"/>
    <w:qFormat/>
    <w:uiPriority w:val="0"/>
    <w:pPr>
      <w:ind w:left="2500" w:leftChars="2500"/>
    </w:pPr>
    <w:rPr>
      <w:rFonts w:eastAsia="楷体_GB2312"/>
      <w:sz w:val="32"/>
      <w:szCs w:val="20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toc 1"/>
    <w:basedOn w:val="1"/>
    <w:next w:val="1"/>
    <w:qFormat/>
    <w:uiPriority w:val="0"/>
  </w:style>
  <w:style w:type="paragraph" w:styleId="1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5">
    <w:name w:val="Body Text First Indent"/>
    <w:basedOn w:val="2"/>
    <w:next w:val="1"/>
    <w:qFormat/>
    <w:uiPriority w:val="0"/>
    <w:pPr>
      <w:autoSpaceDE w:val="0"/>
      <w:autoSpaceDN w:val="0"/>
      <w:adjustRightInd w:val="0"/>
      <w:ind w:firstLine="100" w:firstLineChars="100"/>
      <w:jc w:val="left"/>
    </w:pPr>
    <w:rPr>
      <w:rFonts w:ascii="仿宋_GB2312"/>
      <w:b/>
      <w:kern w:val="0"/>
      <w:sz w:val="32"/>
      <w:szCs w:val="32"/>
    </w:rPr>
  </w:style>
  <w:style w:type="paragraph" w:styleId="16">
    <w:name w:val="Body Text First Indent 2"/>
    <w:basedOn w:val="6"/>
    <w:next w:val="1"/>
    <w:qFormat/>
    <w:uiPriority w:val="0"/>
  </w:style>
  <w:style w:type="character" w:styleId="19">
    <w:name w:val="Strong"/>
    <w:basedOn w:val="18"/>
    <w:qFormat/>
    <w:uiPriority w:val="0"/>
    <w:rPr>
      <w:b/>
    </w:rPr>
  </w:style>
  <w:style w:type="paragraph" w:customStyle="1" w:styleId="20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1">
    <w:name w:val="表内文字"/>
    <w:basedOn w:val="1"/>
    <w:qFormat/>
    <w:uiPriority w:val="0"/>
    <w:pPr>
      <w:tabs>
        <w:tab w:val="left" w:pos="1418"/>
      </w:tabs>
      <w:spacing w:line="360" w:lineRule="auto"/>
      <w:jc w:val="center"/>
    </w:pPr>
    <w:rPr>
      <w:rFonts w:ascii="仿宋_GB2312" w:eastAsia="仿宋_GB2312"/>
      <w:spacing w:val="-20"/>
      <w:kern w:val="0"/>
      <w:sz w:val="24"/>
    </w:rPr>
  </w:style>
  <w:style w:type="paragraph" w:customStyle="1" w:styleId="22">
    <w:name w:val="MsoNormal0"/>
    <w:basedOn w:val="1"/>
    <w:qFormat/>
    <w:uiPriority w:val="0"/>
    <w:pPr>
      <w:widowControl/>
      <w:jc w:val="left"/>
    </w:pPr>
    <w:rPr>
      <w:rFonts w:eastAsia="Times New Roman"/>
      <w:kern w:val="0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2026-09-16T02:55:00Z</dcterms:created>
  <dc:creator>张宇</dc:creator>
  <cp:lastModifiedBy> </cp:lastModifiedBy>
  <dcterms:modified xsi:type="dcterms:W3CDTF">2026-10-16T08:02:47Z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A75ED002D68942F4B9F881A1FECAB855</vt:lpwstr>
  </property>
</Properties>
</file>