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jc w:val="center"/>
        <w:rPr>
          <w:rFonts w:hint="eastAsia" w:ascii="宋体" w:hAnsi="宋体" w:eastAsia="宋体" w:cs="宋体"/>
          <w:sz w:val="84"/>
          <w:szCs w:val="84"/>
        </w:rPr>
      </w:pPr>
      <w:r>
        <w:rPr>
          <w:rFonts w:hint="eastAsia" w:ascii="宋体" w:hAnsi="宋体" w:eastAsia="宋体" w:cs="宋体"/>
          <w:sz w:val="84"/>
          <w:szCs w:val="84"/>
        </w:rPr>
        <w:t>询价通知书</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pStyle w:val="13"/>
        <w:keepNext w:val="0"/>
        <w:keepLines w:val="0"/>
        <w:widowControl/>
        <w:suppressLineNumbers w:val="0"/>
        <w:ind w:left="1260" w:leftChars="0" w:firstLine="420" w:firstLineChars="0"/>
        <w:rPr>
          <w:rFonts w:hint="eastAsia" w:ascii="宋体" w:hAnsi="宋体" w:eastAsia="宋体" w:cs="宋体"/>
          <w:sz w:val="24"/>
          <w:szCs w:val="24"/>
        </w:rPr>
      </w:pPr>
      <w:r>
        <w:rPr>
          <w:rStyle w:val="18"/>
          <w:rFonts w:hint="eastAsia" w:ascii="宋体" w:hAnsi="宋体" w:eastAsia="宋体" w:cs="宋体"/>
          <w:sz w:val="24"/>
          <w:szCs w:val="24"/>
        </w:rPr>
        <w:t>项目名称：</w:t>
      </w:r>
      <w:r>
        <w:rPr>
          <w:rFonts w:hint="eastAsia" w:ascii="宋体" w:hAnsi="宋体" w:eastAsia="宋体" w:cs="宋体"/>
          <w:sz w:val="24"/>
          <w:szCs w:val="24"/>
        </w:rPr>
        <w:t>检察日报社专业高性能电脑采购项目</w:t>
      </w:r>
    </w:p>
    <w:p>
      <w:pPr>
        <w:pStyle w:val="13"/>
        <w:keepNext w:val="0"/>
        <w:keepLines w:val="0"/>
        <w:widowControl/>
        <w:suppressLineNumbers w:val="0"/>
        <w:ind w:left="1260" w:leftChars="0" w:firstLine="420" w:firstLineChars="0"/>
        <w:rPr>
          <w:rStyle w:val="18"/>
          <w:rFonts w:hint="eastAsia" w:ascii="宋体" w:hAnsi="宋体" w:eastAsia="宋体" w:cs="宋体"/>
          <w:b w:val="0"/>
          <w:bCs/>
          <w:sz w:val="24"/>
          <w:szCs w:val="24"/>
          <w:lang w:val="en-US" w:eastAsia="zh-CN"/>
        </w:rPr>
      </w:pPr>
      <w:r>
        <w:rPr>
          <w:rStyle w:val="18"/>
          <w:rFonts w:hint="eastAsia" w:ascii="宋体" w:hAnsi="宋体" w:eastAsia="宋体" w:cs="宋体"/>
          <w:sz w:val="24"/>
          <w:szCs w:val="24"/>
        </w:rPr>
        <w:t>采购单位：</w:t>
      </w:r>
      <w:r>
        <w:rPr>
          <w:rStyle w:val="18"/>
          <w:rFonts w:hint="eastAsia" w:ascii="宋体" w:hAnsi="宋体" w:eastAsia="宋体" w:cs="宋体"/>
          <w:b w:val="0"/>
          <w:bCs/>
          <w:sz w:val="24"/>
          <w:szCs w:val="24"/>
          <w:lang w:val="en-US" w:eastAsia="zh-CN"/>
        </w:rPr>
        <w:t>检察日报社</w:t>
      </w:r>
    </w:p>
    <w:p>
      <w:pPr>
        <w:pStyle w:val="13"/>
        <w:keepNext w:val="0"/>
        <w:keepLines w:val="0"/>
        <w:widowControl/>
        <w:suppressLineNumbers w:val="0"/>
        <w:ind w:left="1260" w:leftChars="0" w:firstLine="420" w:firstLineChars="0"/>
        <w:rPr>
          <w:rFonts w:hint="eastAsia" w:ascii="宋体" w:hAnsi="宋体" w:eastAsia="宋体" w:cs="宋体"/>
          <w:sz w:val="24"/>
          <w:szCs w:val="24"/>
        </w:rPr>
      </w:pPr>
      <w:r>
        <w:rPr>
          <w:rStyle w:val="18"/>
          <w:rFonts w:hint="eastAsia" w:ascii="宋体" w:hAnsi="宋体" w:eastAsia="宋体" w:cs="宋体"/>
          <w:sz w:val="24"/>
          <w:szCs w:val="24"/>
        </w:rPr>
        <w:t>日</w:t>
      </w:r>
      <w:r>
        <w:rPr>
          <w:rStyle w:val="18"/>
          <w:rFonts w:hint="eastAsia" w:ascii="宋体" w:hAnsi="宋体" w:eastAsia="宋体" w:cs="宋体"/>
          <w:sz w:val="24"/>
          <w:szCs w:val="24"/>
          <w:lang w:val="en-US" w:eastAsia="zh-CN"/>
        </w:rPr>
        <w:t>　　</w:t>
      </w:r>
      <w:r>
        <w:rPr>
          <w:rStyle w:val="18"/>
          <w:rFonts w:hint="eastAsia" w:ascii="宋体" w:hAnsi="宋体" w:eastAsia="宋体" w:cs="宋体"/>
          <w:sz w:val="24"/>
          <w:szCs w:val="24"/>
        </w:rPr>
        <w:t>期：</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p>
    <w:p>
      <w:pPr>
        <w:rPr>
          <w:rFonts w:hint="eastAsia" w:ascii="宋体" w:hAnsi="宋体" w:eastAsia="宋体" w:cs="宋体"/>
          <w:sz w:val="24"/>
          <w:szCs w:val="24"/>
        </w:rPr>
      </w:pPr>
    </w:p>
    <w:p>
      <w:pPr>
        <w:pStyle w:val="3"/>
        <w:keepNext w:val="0"/>
        <w:keepLines w:val="0"/>
        <w:widowControl/>
        <w:suppressLineNumbers w:val="0"/>
        <w:outlineLvl w:val="9"/>
        <w:rPr>
          <w:rFonts w:hint="eastAsia" w:ascii="宋体" w:hAnsi="宋体" w:eastAsia="宋体" w:cs="宋体"/>
          <w:sz w:val="24"/>
          <w:szCs w:val="24"/>
        </w:rPr>
      </w:pPr>
      <w:r>
        <w:rPr>
          <w:rFonts w:hint="eastAsia" w:ascii="宋体" w:hAnsi="宋体" w:eastAsia="宋体" w:cs="宋体"/>
          <w:sz w:val="24"/>
          <w:szCs w:val="24"/>
        </w:rPr>
        <w:br w:type="page"/>
      </w:r>
    </w:p>
    <w:p>
      <w:pPr>
        <w:spacing w:before="0" w:beforeLines="0" w:after="0" w:afterLines="0" w:line="24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w:t>
      </w:r>
      <w:r>
        <w:rPr>
          <w:rFonts w:hint="eastAsia" w:ascii="宋体" w:hAnsi="宋体" w:cs="宋体"/>
          <w:b/>
          <w:bCs/>
          <w:sz w:val="44"/>
          <w:szCs w:val="44"/>
          <w:lang w:val="en-US" w:eastAsia="zh-CN"/>
        </w:rPr>
        <w:t xml:space="preserve"> </w:t>
      </w:r>
      <w:r>
        <w:rPr>
          <w:rFonts w:hint="eastAsia" w:ascii="宋体" w:hAnsi="宋体" w:eastAsia="宋体" w:cs="宋体"/>
          <w:b/>
          <w:bCs/>
          <w:sz w:val="44"/>
          <w:szCs w:val="44"/>
        </w:rPr>
        <w:t>录</w:t>
      </w:r>
    </w:p>
    <w:p>
      <w:pPr>
        <w:spacing w:before="0" w:beforeLines="0" w:after="0" w:afterLines="0" w:line="240" w:lineRule="auto"/>
        <w:ind w:left="0" w:leftChars="0" w:right="0" w:rightChars="0" w:firstLine="0" w:firstLineChars="0"/>
        <w:jc w:val="center"/>
        <w:rPr>
          <w:rFonts w:hint="eastAsia" w:ascii="宋体" w:hAnsi="宋体" w:eastAsia="宋体" w:cs="宋体"/>
          <w:sz w:val="24"/>
          <w:szCs w:val="24"/>
        </w:rPr>
      </w:pPr>
    </w:p>
    <w:p>
      <w:pPr>
        <w:pStyle w:val="12"/>
        <w:tabs>
          <w:tab w:val="right" w:leader="dot" w:pos="8306"/>
        </w:tabs>
        <w:rPr>
          <w:rFonts w:hint="eastAsia" w:ascii="黑体" w:hAnsi="黑体" w:eastAsia="黑体" w:cs="黑体"/>
          <w:sz w:val="28"/>
          <w:szCs w:val="36"/>
        </w:rPr>
      </w:pPr>
      <w:r>
        <w:rPr>
          <w:rFonts w:hint="eastAsia" w:ascii="黑体" w:hAnsi="黑体" w:eastAsia="黑体" w:cs="黑体"/>
          <w:sz w:val="36"/>
          <w:szCs w:val="36"/>
        </w:rPr>
        <w:fldChar w:fldCharType="begin"/>
      </w:r>
      <w:r>
        <w:rPr>
          <w:rFonts w:hint="eastAsia" w:ascii="黑体" w:hAnsi="黑体" w:eastAsia="黑体" w:cs="黑体"/>
          <w:sz w:val="36"/>
          <w:szCs w:val="36"/>
        </w:rPr>
        <w:instrText xml:space="preserve">TOC \o "1-1" \h \u </w:instrText>
      </w:r>
      <w:r>
        <w:rPr>
          <w:rFonts w:hint="eastAsia" w:ascii="黑体" w:hAnsi="黑体" w:eastAsia="黑体" w:cs="黑体"/>
          <w:sz w:val="36"/>
          <w:szCs w:val="36"/>
        </w:rPr>
        <w:fldChar w:fldCharType="separate"/>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_Toc13705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询价邀请函</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_Toc13705 \h </w:instrText>
      </w:r>
      <w:r>
        <w:rPr>
          <w:rFonts w:hint="eastAsia" w:ascii="黑体" w:hAnsi="黑体" w:eastAsia="黑体" w:cs="黑体"/>
          <w:sz w:val="28"/>
          <w:szCs w:val="36"/>
        </w:rPr>
        <w:fldChar w:fldCharType="separate"/>
      </w:r>
      <w:r>
        <w:rPr>
          <w:rFonts w:hint="eastAsia" w:ascii="黑体" w:hAnsi="黑体" w:eastAsia="黑体" w:cs="黑体"/>
          <w:sz w:val="28"/>
          <w:szCs w:val="36"/>
        </w:rPr>
        <w:t>3</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pStyle w:val="12"/>
        <w:tabs>
          <w:tab w:val="right" w:leader="dot" w:pos="8306"/>
        </w:tabs>
        <w:rPr>
          <w:rFonts w:hint="eastAsia" w:ascii="黑体" w:hAnsi="黑体" w:eastAsia="黑体" w:cs="黑体"/>
          <w:sz w:val="28"/>
          <w:szCs w:val="36"/>
        </w:rPr>
      </w:pP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_Toc31737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第一章</w:t>
      </w:r>
      <w:r>
        <w:rPr>
          <w:rFonts w:hint="eastAsia" w:ascii="黑体" w:hAnsi="黑体" w:eastAsia="黑体" w:cs="黑体"/>
          <w:bCs/>
          <w:sz w:val="28"/>
          <w:szCs w:val="36"/>
          <w:lang w:val="en-US" w:eastAsia="zh-CN"/>
        </w:rPr>
        <w:t xml:space="preserve"> </w:t>
      </w:r>
      <w:r>
        <w:rPr>
          <w:rFonts w:hint="eastAsia" w:ascii="黑体" w:hAnsi="黑体" w:eastAsia="黑体" w:cs="黑体"/>
          <w:bCs/>
          <w:sz w:val="28"/>
          <w:szCs w:val="36"/>
          <w:lang w:eastAsia="zh-CN"/>
        </w:rPr>
        <w:t>供应商须知</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_Toc31737 \h </w:instrText>
      </w:r>
      <w:r>
        <w:rPr>
          <w:rFonts w:hint="eastAsia" w:ascii="黑体" w:hAnsi="黑体" w:eastAsia="黑体" w:cs="黑体"/>
          <w:sz w:val="28"/>
          <w:szCs w:val="36"/>
        </w:rPr>
        <w:fldChar w:fldCharType="separate"/>
      </w:r>
      <w:r>
        <w:rPr>
          <w:rFonts w:hint="eastAsia" w:ascii="黑体" w:hAnsi="黑体" w:eastAsia="黑体" w:cs="黑体"/>
          <w:sz w:val="28"/>
          <w:szCs w:val="36"/>
        </w:rPr>
        <w:t>6</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pStyle w:val="12"/>
        <w:tabs>
          <w:tab w:val="right" w:leader="dot" w:pos="8306"/>
        </w:tabs>
        <w:rPr>
          <w:rFonts w:hint="eastAsia" w:ascii="黑体" w:hAnsi="黑体" w:eastAsia="黑体" w:cs="黑体"/>
          <w:sz w:val="28"/>
          <w:szCs w:val="36"/>
        </w:rPr>
      </w:pP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_Toc24836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第二章 采购需求</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_Toc24836 \h </w:instrText>
      </w:r>
      <w:r>
        <w:rPr>
          <w:rFonts w:hint="eastAsia" w:ascii="黑体" w:hAnsi="黑体" w:eastAsia="黑体" w:cs="黑体"/>
          <w:sz w:val="28"/>
          <w:szCs w:val="36"/>
        </w:rPr>
        <w:fldChar w:fldCharType="separate"/>
      </w:r>
      <w:r>
        <w:rPr>
          <w:rFonts w:hint="eastAsia" w:ascii="黑体" w:hAnsi="黑体" w:eastAsia="黑体" w:cs="黑体"/>
          <w:sz w:val="28"/>
          <w:szCs w:val="36"/>
        </w:rPr>
        <w:t>10</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rPr>
          <w:rFonts w:hint="eastAsia" w:ascii="宋体" w:hAnsi="宋体" w:eastAsia="宋体" w:cs="宋体"/>
          <w:sz w:val="24"/>
          <w:szCs w:val="24"/>
        </w:rPr>
      </w:pPr>
      <w:r>
        <w:rPr>
          <w:rFonts w:hint="eastAsia" w:ascii="黑体" w:hAnsi="黑体" w:eastAsia="黑体" w:cs="黑体"/>
          <w:sz w:val="28"/>
          <w:szCs w:val="36"/>
        </w:rPr>
        <w:fldChar w:fldCharType="end"/>
      </w:r>
    </w:p>
    <w:p>
      <w:pPr>
        <w:pStyle w:val="13"/>
        <w:keepNext w:val="0"/>
        <w:keepLines w:val="0"/>
        <w:widowControl/>
        <w:suppressLineNumbers w:val="0"/>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0" w:name="_Toc13705"/>
      <w:r>
        <w:rPr>
          <w:rFonts w:hint="eastAsia" w:ascii="宋体" w:hAnsi="宋体" w:eastAsia="宋体" w:cs="宋体"/>
          <w:b/>
          <w:bCs/>
          <w:sz w:val="32"/>
          <w:szCs w:val="32"/>
          <w:lang w:eastAsia="zh-CN"/>
        </w:rPr>
        <w:t>询价邀请函</w:t>
      </w:r>
      <w:bookmarkEnd w:id="0"/>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检察日报社就图形工作站采购项目进行询价采购，欢迎符合资格条件的供应商前来报价。</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一、项目基本信息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1.项目名称：</w:t>
      </w:r>
      <w:r>
        <w:rPr>
          <w:rFonts w:hint="eastAsia" w:ascii="宋体" w:hAnsi="宋体" w:eastAsia="宋体" w:cs="宋体"/>
          <w:sz w:val="24"/>
          <w:szCs w:val="24"/>
          <w:lang w:val="en-US" w:eastAsia="zh-CN"/>
        </w:rPr>
        <w:t>检察日报社</w:t>
      </w:r>
      <w:r>
        <w:rPr>
          <w:rFonts w:hint="eastAsia" w:ascii="宋体" w:hAnsi="宋体" w:eastAsia="宋体" w:cs="宋体"/>
          <w:sz w:val="24"/>
          <w:szCs w:val="24"/>
          <w:lang w:eastAsia="zh-CN"/>
        </w:rPr>
        <w:t>专业高性能电脑采购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.采购方式：询价采购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.采购内容：详见询价通知书第二章《采购需求》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.采购预算：人民币</w:t>
      </w:r>
      <w:r>
        <w:rPr>
          <w:rFonts w:hint="eastAsia" w:ascii="宋体" w:hAnsi="宋体" w:cs="宋体"/>
          <w:sz w:val="24"/>
          <w:szCs w:val="24"/>
          <w:lang w:val="en-US" w:eastAsia="zh-CN"/>
        </w:rPr>
        <w:t>16.5</w:t>
      </w:r>
      <w:r>
        <w:rPr>
          <w:rFonts w:hint="eastAsia" w:ascii="宋体" w:hAnsi="宋体" w:eastAsia="宋体" w:cs="宋体"/>
          <w:sz w:val="24"/>
          <w:szCs w:val="24"/>
          <w:lang w:eastAsia="zh-CN"/>
        </w:rPr>
        <w:t>万元（¥</w:t>
      </w:r>
      <w:r>
        <w:rPr>
          <w:rFonts w:hint="eastAsia" w:ascii="宋体" w:hAnsi="宋体" w:eastAsia="宋体" w:cs="宋体"/>
          <w:sz w:val="24"/>
          <w:szCs w:val="24"/>
          <w:lang w:val="en-US" w:eastAsia="zh-CN"/>
        </w:rPr>
        <w:t>1</w:t>
      </w:r>
      <w:r>
        <w:rPr>
          <w:rFonts w:hint="eastAsia" w:ascii="宋体" w:hAnsi="宋体" w:cs="宋体"/>
          <w:sz w:val="24"/>
          <w:szCs w:val="24"/>
          <w:lang w:val="en-US" w:eastAsia="zh-CN"/>
        </w:rPr>
        <w:t>65</w:t>
      </w:r>
      <w:r>
        <w:rPr>
          <w:rFonts w:hint="eastAsia" w:ascii="宋体" w:hAnsi="宋体" w:eastAsia="宋体" w:cs="宋体"/>
          <w:sz w:val="24"/>
          <w:szCs w:val="24"/>
          <w:lang w:val="en-US" w:eastAsia="zh-CN"/>
        </w:rPr>
        <w:t>000</w:t>
      </w:r>
      <w:r>
        <w:rPr>
          <w:rFonts w:hint="eastAsia" w:ascii="宋体" w:hAnsi="宋体" w:eastAsia="宋体" w:cs="宋体"/>
          <w:sz w:val="24"/>
          <w:szCs w:val="24"/>
          <w:lang w:eastAsia="zh-CN"/>
        </w:rPr>
        <w:t>.00元），报价超过预算的为无效响应。</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二、供应商资格条件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1.具有合法且在有效期内的营业执照；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2.法定代表人身份证明、法定代表人授权委托书（附法定代表人身份证复印件）及被授权人身份证（法定代表人参加响应时，只需提供法定代表人身份证明）；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3.在经营活动中前三年内，在经营活动中无重大违法记录；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4.具备履行合同所必须的设备和专业技术能力的书面声明；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5.应自觉抵制商业贿赂行为；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6.本项目的特定资格要求：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评审日前被列入失信被执行人、重大税收违法案件当事人名单、政府采购严重违法失信行为记录名单（处罚期限尚未届满的），不得参与本项目，[以本项目公告之日起“信用中国”网站（www.creditchina.gov.cn）和“中国政府采购网”（www.ccgp.gov.cn）查询记录为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（2）单位负责人为同一人或者存在直接控股、管理关系的不同</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人，不得参加同一合同项下的采购活动；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（3）本项目不接受联合体</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三、获取询价通知书时间及方式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eastAsia="zh-CN"/>
        </w:rPr>
        <w:t>1.</w:t>
      </w:r>
      <w:r>
        <w:rPr>
          <w:rFonts w:hint="eastAsia" w:ascii="宋体" w:hAnsi="宋体" w:eastAsia="宋体" w:cs="宋体"/>
          <w:sz w:val="24"/>
          <w:szCs w:val="24"/>
          <w:highlight w:val="none"/>
          <w:lang w:eastAsia="zh-CN"/>
        </w:rPr>
        <w:t>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日至202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25</w:t>
      </w:r>
      <w:r>
        <w:rPr>
          <w:rFonts w:hint="eastAsia" w:ascii="宋体" w:hAnsi="宋体" w:eastAsia="宋体" w:cs="宋体"/>
          <w:sz w:val="24"/>
          <w:szCs w:val="24"/>
          <w:highlight w:val="none"/>
          <w:lang w:eastAsia="zh-CN"/>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2.方式：检察日报正义网（www.jcrb.com）“公告区”下载</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四、响应文件提交信息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highlight w:val="none"/>
          <w:lang w:eastAsia="zh-CN"/>
        </w:rPr>
        <w:t>1.截止时间：202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26</w:t>
      </w:r>
      <w:r>
        <w:rPr>
          <w:rFonts w:hint="eastAsia" w:ascii="宋体" w:hAnsi="宋体" w:eastAsia="宋体" w:cs="宋体"/>
          <w:sz w:val="24"/>
          <w:szCs w:val="24"/>
          <w:highlight w:val="none"/>
          <w:lang w:eastAsia="zh-CN"/>
        </w:rPr>
        <w:t>日</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时（北京</w:t>
      </w:r>
      <w:r>
        <w:rPr>
          <w:rFonts w:hint="eastAsia" w:ascii="宋体" w:hAnsi="宋体" w:eastAsia="宋体" w:cs="宋体"/>
          <w:sz w:val="24"/>
          <w:szCs w:val="24"/>
          <w:lang w:eastAsia="zh-CN"/>
        </w:rPr>
        <w:t>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2.提交</w:t>
      </w:r>
      <w:r>
        <w:rPr>
          <w:rFonts w:hint="eastAsia" w:ascii="宋体" w:hAnsi="宋体" w:eastAsia="宋体" w:cs="宋体"/>
          <w:sz w:val="24"/>
          <w:szCs w:val="24"/>
          <w:lang w:val="en-US" w:eastAsia="zh-CN"/>
        </w:rPr>
        <w:t>方式：现场递交或快递寄送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地</w:t>
      </w:r>
      <w:r>
        <w:rPr>
          <w:rFonts w:hint="eastAsia" w:ascii="宋体" w:hAnsi="宋体" w:eastAsia="宋体" w:cs="宋体"/>
          <w:sz w:val="24"/>
          <w:szCs w:val="24"/>
          <w:lang w:val="en-US" w:eastAsia="zh-CN"/>
        </w:rPr>
        <w:t>址</w:t>
      </w:r>
      <w:r>
        <w:rPr>
          <w:rFonts w:hint="eastAsia" w:ascii="宋体" w:hAnsi="宋体" w:eastAsia="宋体" w:cs="宋体"/>
          <w:sz w:val="24"/>
          <w:szCs w:val="24"/>
          <w:lang w:eastAsia="zh-CN"/>
        </w:rPr>
        <w:t>：北京市石景山区香山南路109号东门（</w:t>
      </w:r>
      <w:r>
        <w:rPr>
          <w:rFonts w:hint="eastAsia" w:ascii="宋体" w:hAnsi="宋体" w:eastAsia="宋体" w:cs="宋体"/>
          <w:sz w:val="24"/>
          <w:szCs w:val="24"/>
          <w:lang w:val="en-US" w:eastAsia="zh-CN"/>
        </w:rPr>
        <w:t>检察日报社</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联系人：翟老师</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联系电话：010-</w:t>
      </w:r>
      <w:r>
        <w:rPr>
          <w:rFonts w:hint="eastAsia" w:ascii="宋体" w:hAnsi="宋体" w:eastAsia="宋体" w:cs="宋体"/>
          <w:sz w:val="24"/>
          <w:szCs w:val="24"/>
          <w:lang w:eastAsia="zh-CN"/>
        </w:rPr>
        <w:t>86423491</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响应文件</w:t>
      </w:r>
      <w:r>
        <w:rPr>
          <w:rFonts w:hint="eastAsia" w:ascii="宋体" w:hAnsi="宋体" w:eastAsia="宋体" w:cs="宋体"/>
          <w:b/>
          <w:bCs/>
          <w:sz w:val="24"/>
          <w:szCs w:val="24"/>
          <w:lang w:eastAsia="zh-CN"/>
        </w:rPr>
        <w:t>一式叁份</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eastAsia="zh-CN"/>
        </w:rPr>
        <w:t>正本壹份，副本贰份</w:t>
      </w:r>
      <w:r>
        <w:rPr>
          <w:rFonts w:hint="eastAsia" w:ascii="宋体" w:hAnsi="宋体" w:eastAsia="宋体" w:cs="宋体"/>
          <w:b w:val="0"/>
          <w:bCs w:val="0"/>
          <w:sz w:val="24"/>
          <w:szCs w:val="24"/>
          <w:lang w:eastAsia="zh-CN"/>
        </w:rPr>
        <w:t>）</w:t>
      </w:r>
      <w:r>
        <w:rPr>
          <w:rFonts w:hint="eastAsia" w:ascii="宋体" w:hAnsi="宋体" w:eastAsia="宋体" w:cs="宋体"/>
          <w:sz w:val="24"/>
          <w:szCs w:val="24"/>
          <w:lang w:val="en-US" w:eastAsia="zh-CN"/>
        </w:rPr>
        <w:t>，加盖公章后按文件密封要求密封，封口加盖公章。</w:t>
      </w:r>
      <w:r>
        <w:rPr>
          <w:rFonts w:hint="eastAsia" w:ascii="宋体" w:hAnsi="宋体" w:eastAsia="宋体" w:cs="宋体"/>
          <w:b/>
          <w:bCs/>
          <w:sz w:val="24"/>
          <w:szCs w:val="24"/>
          <w:lang w:val="en-US" w:eastAsia="zh-CN"/>
        </w:rPr>
        <w:t>电子版壹份</w:t>
      </w:r>
      <w:r>
        <w:rPr>
          <w:rFonts w:hint="eastAsia" w:ascii="宋体" w:hAnsi="宋体" w:eastAsia="宋体" w:cs="宋体"/>
          <w:sz w:val="24"/>
          <w:szCs w:val="24"/>
          <w:lang w:val="en-US" w:eastAsia="zh-CN"/>
        </w:rPr>
        <w:t>（用U盘/光盘拷贝，单独密封并标注“电子响应文件”），电子版响应文件提供响应文件正本的Word版本及PDF版本。响应文件的正本和所有的副本均需打印或用不褪色的蓝（黑）墨水填写，注明“正本”“副本”字样。</w:t>
      </w:r>
      <w:r>
        <w:rPr>
          <w:rFonts w:hint="eastAsia" w:ascii="宋体" w:hAnsi="宋体" w:eastAsia="宋体" w:cs="宋体"/>
          <w:sz w:val="24"/>
          <w:szCs w:val="24"/>
          <w:lang w:eastAsia="zh-CN"/>
        </w:rPr>
        <w:t>逾期送达或未按要求密封的响应文件，采购人不予受理。</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五、公告期限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自本公告发布之日起</w:t>
      </w:r>
      <w:r>
        <w:rPr>
          <w:rFonts w:hint="eastAsia" w:ascii="宋体" w:hAnsi="宋体" w:cs="宋体"/>
          <w:b w:val="0"/>
          <w:bCs w:val="0"/>
          <w:sz w:val="24"/>
          <w:szCs w:val="24"/>
          <w:lang w:val="en-US" w:eastAsia="zh-CN"/>
        </w:rPr>
        <w:t>10</w:t>
      </w:r>
      <w:r>
        <w:rPr>
          <w:rFonts w:hint="eastAsia" w:ascii="宋体" w:hAnsi="宋体" w:eastAsia="宋体" w:cs="宋体"/>
          <w:b w:val="0"/>
          <w:bCs w:val="0"/>
          <w:sz w:val="24"/>
          <w:szCs w:val="24"/>
          <w:lang w:eastAsia="zh-CN"/>
        </w:rPr>
        <w:t>个</w:t>
      </w:r>
      <w:r>
        <w:rPr>
          <w:rFonts w:hint="eastAsia" w:ascii="宋体" w:hAnsi="宋体" w:eastAsia="宋体" w:cs="宋体"/>
          <w:b w:val="0"/>
          <w:bCs w:val="0"/>
          <w:sz w:val="24"/>
          <w:szCs w:val="24"/>
          <w:lang w:val="en-US" w:eastAsia="zh-CN"/>
        </w:rPr>
        <w:t>自然日</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六、其他补充事宜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参加采购项目的供应商，请于202</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年</w:t>
      </w:r>
      <w:r>
        <w:rPr>
          <w:rFonts w:hint="eastAsia" w:ascii="宋体" w:hAnsi="宋体" w:cs="宋体"/>
          <w:b w:val="0"/>
          <w:bCs w:val="0"/>
          <w:sz w:val="24"/>
          <w:szCs w:val="24"/>
          <w:lang w:val="en-US" w:eastAsia="zh-CN"/>
        </w:rPr>
        <w:t>10</w:t>
      </w:r>
      <w:r>
        <w:rPr>
          <w:rFonts w:hint="eastAsia" w:ascii="宋体" w:hAnsi="宋体" w:eastAsia="宋体" w:cs="宋体"/>
          <w:b w:val="0"/>
          <w:bCs w:val="0"/>
          <w:sz w:val="24"/>
          <w:szCs w:val="24"/>
          <w:lang w:eastAsia="zh-CN"/>
        </w:rPr>
        <w:t>月</w:t>
      </w:r>
      <w:r>
        <w:rPr>
          <w:rFonts w:hint="eastAsia" w:ascii="宋体" w:hAnsi="宋体" w:cs="宋体"/>
          <w:b w:val="0"/>
          <w:bCs w:val="0"/>
          <w:sz w:val="24"/>
          <w:szCs w:val="24"/>
          <w:lang w:val="en-US" w:eastAsia="zh-CN"/>
        </w:rPr>
        <w:t>23</w:t>
      </w:r>
      <w:r>
        <w:rPr>
          <w:rFonts w:hint="eastAsia" w:ascii="宋体" w:hAnsi="宋体" w:eastAsia="宋体" w:cs="宋体"/>
          <w:b w:val="0"/>
          <w:bCs w:val="0"/>
          <w:sz w:val="24"/>
          <w:szCs w:val="24"/>
          <w:lang w:eastAsia="zh-CN"/>
        </w:rPr>
        <w:t>日17时前填写《登记表》后将营业执照（电子版）、登记表（Word版+盖章扫描版）发送至电子邮箱（邮箱地址详见登记表），邮件标题格式为“供应商名称-项目名称”，进行项目信息登记。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登记完成的供应商自动视为报名参与本次采购项目，可自行准备采购</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eastAsia="zh-CN"/>
        </w:rPr>
        <w:t>、联系方式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名称：检察日报社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地址：北京市石景山区香山南路109号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联系人：翟老师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联系方式：010-86423491</w:t>
      </w:r>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ind w:firstLine="6088" w:firstLineChars="2537"/>
        <w:textAlignment w:val="auto"/>
        <w:rPr>
          <w:rFonts w:hint="eastAsia" w:ascii="宋体" w:hAnsi="宋体" w:eastAsia="宋体" w:cs="宋体"/>
          <w:sz w:val="24"/>
          <w:szCs w:val="24"/>
        </w:rPr>
      </w:pPr>
      <w:r>
        <w:rPr>
          <w:rFonts w:hint="eastAsia" w:ascii="宋体" w:hAnsi="宋体" w:eastAsia="宋体" w:cs="宋体"/>
          <w:sz w:val="24"/>
          <w:szCs w:val="24"/>
        </w:rPr>
        <w:t>检察日报社</w:t>
      </w:r>
    </w:p>
    <w:p>
      <w:pPr>
        <w:jc w:val="center"/>
        <w:outlineLvl w:val="9"/>
        <w:rPr>
          <w:rFonts w:hint="eastAsia" w:ascii="宋体" w:hAnsi="宋体" w:eastAsia="宋体" w:cs="宋体"/>
          <w:sz w:val="24"/>
          <w:szCs w:val="24"/>
          <w:highlight w:val="yellow"/>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yellow"/>
        </w:rPr>
        <w:br w:type="page"/>
      </w:r>
      <w:bookmarkStart w:id="1" w:name="_Toc14937"/>
      <w:bookmarkStart w:id="2" w:name="_Toc24649"/>
    </w:p>
    <w:p>
      <w:pPr>
        <w:jc w:val="center"/>
        <w:outlineLvl w:val="1"/>
        <w:rPr>
          <w:rFonts w:hint="eastAsia" w:ascii="宋体" w:hAnsi="宋体" w:eastAsia="宋体" w:cs="宋体"/>
          <w:sz w:val="32"/>
          <w:szCs w:val="32"/>
        </w:rPr>
      </w:pPr>
      <w:r>
        <w:rPr>
          <w:rFonts w:hint="eastAsia" w:ascii="宋体" w:hAnsi="宋体" w:eastAsia="宋体" w:cs="宋体"/>
          <w:sz w:val="32"/>
          <w:szCs w:val="32"/>
        </w:rPr>
        <w:t>登记表</w:t>
      </w:r>
      <w:bookmarkEnd w:id="1"/>
      <w:bookmarkEnd w:id="2"/>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tbl>
      <w:tblPr>
        <w:tblStyle w:val="16"/>
        <w:tblW w:w="8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6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项目名称</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检察日报社专业高性能电脑采购项目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公司名称</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 xml:space="preserve">                                       </w:t>
            </w:r>
            <w:r>
              <w:rPr>
                <w:rFonts w:hint="eastAsia" w:ascii="宋体" w:hAnsi="宋体" w:eastAsia="宋体" w:cs="宋体"/>
                <w:sz w:val="24"/>
                <w:szCs w:val="24"/>
                <w:shd w:val="clear" w:color="auto" w:fill="FFFFFF"/>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法人姓名</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授权代表姓名</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联系电话</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bl>
    <w:p>
      <w:pPr>
        <w:jc w:val="right"/>
        <w:rPr>
          <w:rFonts w:hint="eastAsia" w:ascii="宋体" w:hAnsi="宋体" w:eastAsia="宋体" w:cs="宋体"/>
          <w:kern w:val="0"/>
          <w:sz w:val="24"/>
          <w:szCs w:val="24"/>
          <w:shd w:val="clear" w:color="auto" w:fill="FFFFFF"/>
        </w:rPr>
      </w:pPr>
    </w:p>
    <w:p>
      <w:pPr>
        <w:jc w:val="right"/>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年</w:t>
      </w:r>
      <w:r>
        <w:rPr>
          <w:rFonts w:hint="eastAsia" w:ascii="宋体" w:hAnsi="宋体" w:eastAsia="宋体" w:cs="宋体"/>
          <w:kern w:val="0"/>
          <w:sz w:val="24"/>
          <w:szCs w:val="24"/>
          <w:shd w:val="clear" w:color="auto" w:fill="FFFFFF"/>
          <w:lang w:val="en-US" w:eastAsia="zh-CN"/>
        </w:rPr>
        <w:t xml:space="preserve">   </w:t>
      </w:r>
      <w:r>
        <w:rPr>
          <w:rFonts w:hint="eastAsia" w:ascii="宋体" w:hAnsi="宋体" w:eastAsia="宋体" w:cs="宋体"/>
          <w:kern w:val="0"/>
          <w:sz w:val="24"/>
          <w:szCs w:val="24"/>
          <w:shd w:val="clear" w:color="auto" w:fill="FFFFFF"/>
        </w:rPr>
        <w:t>月</w:t>
      </w:r>
      <w:r>
        <w:rPr>
          <w:rFonts w:hint="eastAsia" w:ascii="宋体" w:hAnsi="宋体" w:eastAsia="宋体" w:cs="宋体"/>
          <w:kern w:val="0"/>
          <w:sz w:val="24"/>
          <w:szCs w:val="24"/>
          <w:shd w:val="clear" w:color="auto" w:fill="FFFFFF"/>
          <w:lang w:val="en-US" w:eastAsia="zh-CN"/>
        </w:rPr>
        <w:t xml:space="preserve">   </w:t>
      </w:r>
      <w:r>
        <w:rPr>
          <w:rFonts w:hint="eastAsia" w:ascii="宋体" w:hAnsi="宋体" w:eastAsia="宋体" w:cs="宋体"/>
          <w:kern w:val="0"/>
          <w:sz w:val="24"/>
          <w:szCs w:val="24"/>
          <w:shd w:val="clear" w:color="auto" w:fill="FFFFFF"/>
        </w:rPr>
        <w:t>日</w:t>
      </w:r>
    </w:p>
    <w:p>
      <w:pPr>
        <w:pStyle w:val="2"/>
        <w:ind w:firstLine="480" w:firstLineChars="200"/>
        <w:rPr>
          <w:rFonts w:hint="eastAsia" w:ascii="宋体" w:hAnsi="宋体" w:eastAsia="宋体" w:cs="宋体"/>
          <w:color w:val="auto"/>
          <w:kern w:val="0"/>
          <w:sz w:val="24"/>
          <w:szCs w:val="24"/>
          <w:shd w:val="clear" w:color="auto" w:fill="FFFFFF"/>
        </w:rPr>
      </w:pPr>
    </w:p>
    <w:p>
      <w:pPr>
        <w:pStyle w:val="2"/>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参加</w:t>
      </w:r>
      <w:r>
        <w:rPr>
          <w:rFonts w:hint="eastAsia" w:ascii="宋体" w:hAnsi="宋体" w:cs="宋体"/>
          <w:color w:val="auto"/>
          <w:kern w:val="0"/>
          <w:sz w:val="24"/>
          <w:szCs w:val="24"/>
          <w:shd w:val="clear" w:color="auto" w:fill="FFFFFF"/>
          <w:lang w:val="en-US" w:eastAsia="zh-CN"/>
        </w:rPr>
        <w:t>响应</w:t>
      </w:r>
      <w:r>
        <w:rPr>
          <w:rFonts w:hint="eastAsia" w:ascii="宋体" w:hAnsi="宋体" w:eastAsia="宋体" w:cs="宋体"/>
          <w:color w:val="auto"/>
          <w:kern w:val="0"/>
          <w:sz w:val="24"/>
          <w:szCs w:val="24"/>
          <w:shd w:val="clear" w:color="auto" w:fill="FFFFFF"/>
        </w:rPr>
        <w:t>的供应商，填写《登记表》后将营业执照（电子版）、登记表（Word版+盖章扫描版）发送至电子邮箱（</w:t>
      </w:r>
      <w:r>
        <w:rPr>
          <w:rFonts w:hint="eastAsia" w:ascii="宋体" w:hAnsi="宋体" w:eastAsia="宋体" w:cs="宋体"/>
          <w:color w:val="auto"/>
          <w:kern w:val="0"/>
          <w:sz w:val="24"/>
          <w:szCs w:val="24"/>
          <w:highlight w:val="none"/>
          <w:shd w:val="clear" w:color="auto" w:fill="FFFFFF"/>
          <w:lang w:val="en-US" w:eastAsia="zh-CN"/>
        </w:rPr>
        <w:t>jcrbjsb@163.com</w:t>
      </w:r>
      <w:r>
        <w:rPr>
          <w:rFonts w:hint="eastAsia" w:ascii="宋体" w:hAnsi="宋体" w:eastAsia="宋体" w:cs="宋体"/>
          <w:color w:val="auto"/>
          <w:kern w:val="0"/>
          <w:sz w:val="24"/>
          <w:szCs w:val="24"/>
          <w:shd w:val="clear" w:color="auto" w:fill="FFFFFF"/>
        </w:rPr>
        <w:t>），邮件标题格式为“供应商名称-项目名称”，进行项目信息登记。</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000000"/>
          <w:spacing w:val="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4"/>
          <w:szCs w:val="24"/>
          <w:highlight w:val="yellow"/>
        </w:rPr>
      </w:pPr>
      <w:r>
        <w:rPr>
          <w:rFonts w:hint="eastAsia" w:ascii="宋体" w:hAnsi="宋体" w:eastAsia="宋体" w:cs="宋体"/>
          <w:color w:val="auto"/>
          <w:kern w:val="0"/>
          <w:sz w:val="24"/>
          <w:szCs w:val="24"/>
          <w:highlight w:val="none"/>
          <w:lang w:bidi="ar-SA"/>
        </w:rPr>
        <w:br w:type="page"/>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3" w:name="_Toc31737"/>
      <w:r>
        <w:rPr>
          <w:rFonts w:hint="eastAsia" w:ascii="宋体" w:hAnsi="宋体" w:eastAsia="宋体" w:cs="宋体"/>
          <w:b/>
          <w:bCs/>
          <w:sz w:val="32"/>
          <w:szCs w:val="32"/>
          <w:lang w:eastAsia="zh-CN"/>
        </w:rPr>
        <w:t>第一章</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eastAsia="zh-CN"/>
        </w:rPr>
        <w:t>供应商须知</w:t>
      </w:r>
      <w:bookmarkEnd w:id="3"/>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一、总则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1.适用范围：本询价通知书仅适用于本次询价采购项目。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2.定义：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“采购人”指</w:t>
      </w:r>
      <w:r>
        <w:rPr>
          <w:rFonts w:hint="eastAsia" w:ascii="宋体" w:hAnsi="宋体" w:eastAsia="宋体" w:cs="宋体"/>
          <w:b w:val="0"/>
          <w:bCs w:val="0"/>
          <w:sz w:val="24"/>
          <w:szCs w:val="24"/>
          <w:lang w:val="en-US" w:eastAsia="zh-CN"/>
        </w:rPr>
        <w:t>检察日报社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“供应商”指响应询价、参加报价的法人或其他组织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“响应文件”指供应商根据本通知书编制并提交的全部文件</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二、采购预算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1.本项目采购预算为人民币</w:t>
      </w:r>
      <w:r>
        <w:rPr>
          <w:rFonts w:hint="eastAsia" w:ascii="宋体" w:hAnsi="宋体" w:eastAsia="宋体" w:cs="宋体"/>
          <w:b w:val="0"/>
          <w:bCs w:val="0"/>
          <w:sz w:val="24"/>
          <w:szCs w:val="24"/>
          <w:lang w:val="en-US" w:eastAsia="zh-CN"/>
        </w:rPr>
        <w:t>1</w:t>
      </w:r>
      <w:r>
        <w:rPr>
          <w:rFonts w:hint="eastAsia" w:ascii="宋体" w:hAnsi="宋体" w:cs="宋体"/>
          <w:b w:val="0"/>
          <w:bCs w:val="0"/>
          <w:sz w:val="24"/>
          <w:szCs w:val="24"/>
          <w:lang w:val="en-US" w:eastAsia="zh-CN"/>
        </w:rPr>
        <w:t>6</w:t>
      </w:r>
      <w:r>
        <w:rPr>
          <w:rFonts w:hint="eastAsia" w:ascii="宋体" w:hAnsi="宋体" w:eastAsia="宋体" w:cs="宋体"/>
          <w:b w:val="0"/>
          <w:bCs w:val="0"/>
          <w:sz w:val="24"/>
          <w:szCs w:val="24"/>
          <w:lang w:val="en-US" w:eastAsia="zh-CN"/>
        </w:rPr>
        <w:t>.</w:t>
      </w:r>
      <w:r>
        <w:rPr>
          <w:rFonts w:hint="eastAsia" w:ascii="宋体" w:hAnsi="宋体" w:cs="宋体"/>
          <w:b w:val="0"/>
          <w:bCs w:val="0"/>
          <w:sz w:val="24"/>
          <w:szCs w:val="24"/>
          <w:lang w:val="en-US" w:eastAsia="zh-CN"/>
        </w:rPr>
        <w:t>5</w:t>
      </w:r>
      <w:r>
        <w:rPr>
          <w:rFonts w:hint="eastAsia" w:ascii="宋体" w:hAnsi="宋体" w:eastAsia="宋体" w:cs="宋体"/>
          <w:b w:val="0"/>
          <w:bCs w:val="0"/>
          <w:sz w:val="24"/>
          <w:szCs w:val="24"/>
          <w:lang w:eastAsia="zh-CN"/>
        </w:rPr>
        <w:t>万元（¥</w:t>
      </w:r>
      <w:r>
        <w:rPr>
          <w:rFonts w:hint="eastAsia" w:ascii="宋体" w:hAnsi="宋体" w:eastAsia="宋体" w:cs="宋体"/>
          <w:b w:val="0"/>
          <w:bCs w:val="0"/>
          <w:sz w:val="24"/>
          <w:szCs w:val="24"/>
          <w:lang w:val="en-US" w:eastAsia="zh-CN"/>
        </w:rPr>
        <w:t>1</w:t>
      </w:r>
      <w:r>
        <w:rPr>
          <w:rFonts w:hint="eastAsia" w:ascii="宋体" w:hAnsi="宋体" w:cs="宋体"/>
          <w:b w:val="0"/>
          <w:bCs w:val="0"/>
          <w:sz w:val="24"/>
          <w:szCs w:val="24"/>
          <w:lang w:val="en-US" w:eastAsia="zh-CN"/>
        </w:rPr>
        <w:t>65</w:t>
      </w:r>
      <w:r>
        <w:rPr>
          <w:rFonts w:hint="eastAsia" w:ascii="宋体" w:hAnsi="宋体" w:eastAsia="宋体" w:cs="宋体"/>
          <w:b w:val="0"/>
          <w:bCs w:val="0"/>
          <w:sz w:val="24"/>
          <w:szCs w:val="24"/>
          <w:lang w:val="en-US" w:eastAsia="zh-CN"/>
        </w:rPr>
        <w:t>000</w:t>
      </w:r>
      <w:r>
        <w:rPr>
          <w:rFonts w:hint="eastAsia" w:ascii="宋体" w:hAnsi="宋体" w:eastAsia="宋体" w:cs="宋体"/>
          <w:b w:val="0"/>
          <w:bCs w:val="0"/>
          <w:sz w:val="24"/>
          <w:szCs w:val="24"/>
          <w:lang w:eastAsia="zh-CN"/>
        </w:rPr>
        <w:t>.00元），包含货物本身、运输、安装、调试、培训、税费、质保期运维服务等全部费用。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2.供应商报价不得超过采购预算，否则作无效响应处理。</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三、供应商资格条件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供应商须同时满足以下条件，并在响应文件中提供相应证明材料：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1.主体资格：具有独立法人资格，持有有效的营业执照，经营范围涵盖本次采购内容</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提供</w:t>
      </w:r>
      <w:r>
        <w:rPr>
          <w:rFonts w:hint="eastAsia" w:ascii="宋体" w:hAnsi="宋体" w:cs="宋体"/>
          <w:b w:val="0"/>
          <w:bCs w:val="0"/>
          <w:sz w:val="24"/>
          <w:szCs w:val="24"/>
          <w:lang w:eastAsia="zh-CN"/>
        </w:rPr>
        <w:t>法定代表人身份证明、法定代表人授权委托书（附法定代表人身份证复印件）及被授权人身份证（法定代表人参加</w:t>
      </w:r>
      <w:r>
        <w:rPr>
          <w:rFonts w:hint="eastAsia" w:ascii="宋体" w:hAnsi="宋体" w:cs="宋体"/>
          <w:b w:val="0"/>
          <w:bCs w:val="0"/>
          <w:sz w:val="24"/>
          <w:szCs w:val="24"/>
          <w:lang w:val="en-US" w:eastAsia="zh-CN"/>
        </w:rPr>
        <w:t>响应</w:t>
      </w:r>
      <w:r>
        <w:rPr>
          <w:rFonts w:hint="eastAsia" w:ascii="宋体" w:hAnsi="宋体" w:cs="宋体"/>
          <w:b w:val="0"/>
          <w:bCs w:val="0"/>
          <w:sz w:val="24"/>
          <w:szCs w:val="24"/>
          <w:lang w:eastAsia="zh-CN"/>
        </w:rPr>
        <w:t>时，只需提供法定代表人身份证明）</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2</w:t>
      </w:r>
      <w:r>
        <w:rPr>
          <w:rFonts w:hint="eastAsia" w:ascii="宋体" w:hAnsi="宋体" w:eastAsia="宋体" w:cs="宋体"/>
          <w:b w:val="0"/>
          <w:bCs w:val="0"/>
          <w:sz w:val="24"/>
          <w:szCs w:val="24"/>
          <w:lang w:eastAsia="zh-CN"/>
        </w:rPr>
        <w:t>.违法记录：提供参加采购活动前3年内在经营活动中没有重大违法记录的书面声明；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3</w:t>
      </w:r>
      <w:r>
        <w:rPr>
          <w:rFonts w:hint="eastAsia" w:ascii="宋体" w:hAnsi="宋体" w:eastAsia="宋体" w:cs="宋体"/>
          <w:b w:val="0"/>
          <w:bCs w:val="0"/>
          <w:sz w:val="24"/>
          <w:szCs w:val="24"/>
          <w:lang w:eastAsia="zh-CN"/>
        </w:rPr>
        <w:t>.信用记录：未被列入</w:t>
      </w:r>
      <w:r>
        <w:rPr>
          <w:rFonts w:hint="eastAsia" w:ascii="宋体" w:hAnsi="宋体" w:cs="宋体"/>
          <w:b w:val="0"/>
          <w:bCs w:val="0"/>
          <w:sz w:val="24"/>
          <w:szCs w:val="24"/>
          <w:lang w:eastAsia="zh-CN"/>
        </w:rPr>
        <w:t>“</w:t>
      </w:r>
      <w:r>
        <w:rPr>
          <w:rFonts w:hint="eastAsia" w:ascii="宋体" w:hAnsi="宋体" w:eastAsia="宋体" w:cs="宋体"/>
          <w:b w:val="0"/>
          <w:bCs w:val="0"/>
          <w:sz w:val="24"/>
          <w:szCs w:val="24"/>
          <w:lang w:eastAsia="zh-CN"/>
        </w:rPr>
        <w:t>信用中国</w:t>
      </w:r>
      <w:r>
        <w:rPr>
          <w:rFonts w:hint="eastAsia" w:ascii="宋体" w:hAnsi="宋体" w:cs="宋体"/>
          <w:b w:val="0"/>
          <w:bCs w:val="0"/>
          <w:sz w:val="24"/>
          <w:szCs w:val="24"/>
          <w:lang w:eastAsia="zh-CN"/>
        </w:rPr>
        <w:t>”</w:t>
      </w:r>
      <w:r>
        <w:rPr>
          <w:rFonts w:hint="eastAsia" w:ascii="宋体" w:hAnsi="宋体" w:eastAsia="宋体" w:cs="宋体"/>
          <w:b w:val="0"/>
          <w:bCs w:val="0"/>
          <w:sz w:val="24"/>
          <w:szCs w:val="24"/>
          <w:lang w:eastAsia="zh-CN"/>
        </w:rPr>
        <w:t>网站失信被执行人、重大税收违法失信主体、政府采购严重违法失信行为记录名单</w:t>
      </w:r>
      <w:r>
        <w:rPr>
          <w:rFonts w:hint="eastAsia" w:ascii="宋体" w:hAnsi="宋体" w:cs="宋体"/>
          <w:b w:val="0"/>
          <w:bCs w:val="0"/>
          <w:sz w:val="24"/>
          <w:szCs w:val="24"/>
          <w:lang w:eastAsia="zh-CN"/>
        </w:rPr>
        <w:t>[以本项目公告之日起“信用中国”网站（www.creditchina.gov.cn）和“中国政府采购网”（www.ccgp.gov.cn）查询记录为准]</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四、采购程序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1.发布询价公告：采购人在指定媒介发布询价通知书。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2.获取文件：符合条件的供应商按规定时间获取询价通知书。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3.编制响应文件：供应商按要求编制并密封提交响应文件。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.评审：采购人在规定时间组织</w:t>
      </w:r>
      <w:r>
        <w:rPr>
          <w:rFonts w:hint="eastAsia" w:ascii="宋体" w:hAnsi="宋体" w:eastAsia="宋体" w:cs="宋体"/>
          <w:b w:val="0"/>
          <w:bCs w:val="0"/>
          <w:sz w:val="24"/>
          <w:szCs w:val="24"/>
          <w:lang w:val="en-US" w:eastAsia="zh-CN"/>
        </w:rPr>
        <w:t>评审会</w:t>
      </w:r>
      <w:r>
        <w:rPr>
          <w:rFonts w:hint="eastAsia" w:ascii="宋体" w:hAnsi="宋体" w:eastAsia="宋体" w:cs="宋体"/>
          <w:b w:val="0"/>
          <w:bCs w:val="0"/>
          <w:sz w:val="24"/>
          <w:szCs w:val="24"/>
          <w:lang w:eastAsia="zh-CN"/>
        </w:rPr>
        <w:t>，询价小组对响应文件进行资格审查，对合格供应商进行比价。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eastAsia="zh-CN"/>
        </w:rPr>
        <w:t>.确定成交供应商：采购人根据评审结果确定成交供应商。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.发出成交通知书：采购人向成交供应商发出成交通知书。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lang w:eastAsia="zh-CN"/>
        </w:rPr>
        <w:t>.签订合同：成交供应商在收到成交通知书后30日内与采购人签订采购合同。</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五、价格构成与报价要求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（一）价格构成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供应商报价应包含但不限于以下部分：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1.货物本体费用；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2.运输费、装卸费、保险费；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3</w:t>
      </w:r>
      <w:r>
        <w:rPr>
          <w:rFonts w:hint="eastAsia" w:ascii="宋体" w:hAnsi="宋体" w:eastAsia="宋体" w:cs="宋体"/>
          <w:b w:val="0"/>
          <w:bCs w:val="0"/>
          <w:sz w:val="24"/>
          <w:szCs w:val="24"/>
          <w:lang w:eastAsia="zh-CN"/>
        </w:rPr>
        <w:t>.各项税费（增值税、附加税等）；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4</w:t>
      </w:r>
      <w:r>
        <w:rPr>
          <w:rFonts w:hint="eastAsia" w:ascii="宋体" w:hAnsi="宋体" w:eastAsia="宋体" w:cs="宋体"/>
          <w:b w:val="0"/>
          <w:bCs w:val="0"/>
          <w:sz w:val="24"/>
          <w:szCs w:val="24"/>
          <w:lang w:eastAsia="zh-CN"/>
        </w:rPr>
        <w:t>.其他为完成本项目所需的全部费用。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（二）报价要求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1.报价采用人民币计价，单位精确到元，保留两位小数。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2.供应商只允许有一个报价，任何有选择的报价将不予接受。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3.报价为固定总价，在合同执行期内价格不变，不因市场价格波动而调整。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4.供应商应详细列明各项费用明细，未列明的视为已包含在总价中。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5.最低报价不能作为成交的唯一保证。</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六、响应文件编制要求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（一）响应文件组成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响应文件应包括但不限于以下内容，按顺序装订成册：</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1.报价函</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2.报价明细表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3.法定代表人、被授权人身份证明及授权委托书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4.资格证明文件（营业执照、资质证书</w:t>
      </w:r>
      <w:r>
        <w:rPr>
          <w:rFonts w:hint="eastAsia" w:ascii="宋体" w:hAnsi="宋体" w:cs="宋体"/>
          <w:b w:val="0"/>
          <w:bCs w:val="0"/>
          <w:sz w:val="24"/>
          <w:szCs w:val="24"/>
          <w:lang w:val="en-US" w:eastAsia="zh-CN"/>
        </w:rPr>
        <w:t>等</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5.财务状况、纳税及社保证明材料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5.参加采购活动前三年内，在经营活动中没有重大违法记录的书面声明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7.技术参数响应表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8.商务条款响应表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9.服务方案及质保承诺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10.供应商认为需要提供的其他材料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11.采购需求偏离表、评分索引表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（二）编制要求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1.响应文件应打印或用不褪色墨水书写，由法定代表人或其授权代表签字并加盖公章。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2.响应文件</w:t>
      </w:r>
      <w:r>
        <w:rPr>
          <w:rFonts w:hint="eastAsia" w:ascii="宋体" w:hAnsi="宋体" w:eastAsia="宋体" w:cs="宋体"/>
          <w:b/>
          <w:bCs/>
          <w:sz w:val="24"/>
          <w:szCs w:val="24"/>
          <w:lang w:eastAsia="zh-CN"/>
        </w:rPr>
        <w:t>一式叁份</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eastAsia="zh-CN"/>
        </w:rPr>
        <w:t>正本壹份，副本贰份</w:t>
      </w:r>
      <w:r>
        <w:rPr>
          <w:rFonts w:hint="eastAsia" w:ascii="宋体" w:hAnsi="宋体" w:eastAsia="宋体" w:cs="宋体"/>
          <w:b w:val="0"/>
          <w:bCs w:val="0"/>
          <w:sz w:val="24"/>
          <w:szCs w:val="24"/>
          <w:lang w:eastAsia="zh-CN"/>
        </w:rPr>
        <w:t>），加盖公章后按文件密封要求密封，封口加盖公章。</w:t>
      </w:r>
      <w:r>
        <w:rPr>
          <w:rFonts w:hint="eastAsia" w:ascii="宋体" w:hAnsi="宋体" w:eastAsia="宋体" w:cs="宋体"/>
          <w:b/>
          <w:bCs/>
          <w:sz w:val="24"/>
          <w:szCs w:val="24"/>
          <w:lang w:eastAsia="zh-CN"/>
        </w:rPr>
        <w:t>电子版壹份</w:t>
      </w:r>
      <w:r>
        <w:rPr>
          <w:rFonts w:hint="eastAsia" w:ascii="宋体" w:hAnsi="宋体" w:eastAsia="宋体" w:cs="宋体"/>
          <w:b w:val="0"/>
          <w:bCs w:val="0"/>
          <w:sz w:val="24"/>
          <w:szCs w:val="24"/>
          <w:lang w:eastAsia="zh-CN"/>
        </w:rPr>
        <w:t>（用U盘/光盘拷贝，单独密封并标注“电子</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文件”），电子版响应文件提供响应文件正本的Word版本及PDF版本。响应文件的正本和所有的副本均需打印或用不褪色的蓝（黑）墨水填写，注明“正本”“副本”字样。正本与副本不一致时，以正本为准。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3.响应文件应装订牢固，不易散落，不得采用活页装订。</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4.响应文件的正本和所有副本应分别密封，密封袋上标明项目名称、供应商名称，并在封口处加盖公章。</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七、提交响应文件截止时间及地点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1.截止时间：</w:t>
      </w:r>
      <w:r>
        <w:rPr>
          <w:rFonts w:hint="default" w:ascii="宋体" w:hAnsi="宋体" w:eastAsia="宋体" w:cs="宋体"/>
          <w:b w:val="0"/>
          <w:bCs w:val="0"/>
          <w:sz w:val="24"/>
          <w:szCs w:val="24"/>
          <w:lang w:eastAsia="zh-CN"/>
        </w:rPr>
        <w:t>2026年</w:t>
      </w:r>
      <w:r>
        <w:rPr>
          <w:rFonts w:hint="eastAsia" w:ascii="宋体" w:hAnsi="宋体" w:cs="宋体"/>
          <w:b w:val="0"/>
          <w:bCs w:val="0"/>
          <w:sz w:val="24"/>
          <w:szCs w:val="24"/>
          <w:lang w:val="en-US" w:eastAsia="zh-CN"/>
        </w:rPr>
        <w:t>10</w:t>
      </w:r>
      <w:r>
        <w:rPr>
          <w:rFonts w:hint="default" w:ascii="宋体" w:hAnsi="宋体" w:eastAsia="宋体" w:cs="宋体"/>
          <w:b w:val="0"/>
          <w:bCs w:val="0"/>
          <w:sz w:val="24"/>
          <w:szCs w:val="24"/>
          <w:lang w:eastAsia="zh-CN"/>
        </w:rPr>
        <w:t>月2</w:t>
      </w:r>
      <w:r>
        <w:rPr>
          <w:rFonts w:hint="eastAsia" w:ascii="宋体" w:hAnsi="宋体" w:cs="宋体"/>
          <w:b w:val="0"/>
          <w:bCs w:val="0"/>
          <w:sz w:val="24"/>
          <w:szCs w:val="24"/>
          <w:lang w:val="en-US" w:eastAsia="zh-CN"/>
        </w:rPr>
        <w:t>6</w:t>
      </w:r>
      <w:r>
        <w:rPr>
          <w:rFonts w:hint="default" w:ascii="宋体" w:hAnsi="宋体" w:eastAsia="宋体" w:cs="宋体"/>
          <w:b w:val="0"/>
          <w:bCs w:val="0"/>
          <w:sz w:val="24"/>
          <w:szCs w:val="24"/>
          <w:lang w:eastAsia="zh-CN"/>
        </w:rPr>
        <w:t>日16时</w:t>
      </w:r>
      <w:r>
        <w:rPr>
          <w:rFonts w:hint="eastAsia" w:ascii="宋体" w:hAnsi="宋体" w:eastAsia="宋体" w:cs="宋体"/>
          <w:b w:val="0"/>
          <w:bCs w:val="0"/>
          <w:sz w:val="24"/>
          <w:szCs w:val="24"/>
          <w:lang w:eastAsia="zh-CN"/>
        </w:rPr>
        <w:t>（北京时间）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2.提交</w:t>
      </w:r>
      <w:r>
        <w:rPr>
          <w:rFonts w:hint="eastAsia" w:ascii="宋体" w:hAnsi="宋体" w:eastAsia="宋体" w:cs="宋体"/>
          <w:sz w:val="24"/>
          <w:szCs w:val="24"/>
          <w:lang w:val="en-US" w:eastAsia="zh-CN"/>
        </w:rPr>
        <w:t>方式：现场递交或快递寄送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3.地址：北京市石景山区香山南路109号东门（检察日报社）</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联系人：翟老师</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联系电话：010-86423491</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4.逾期送达或未按要求密封的响应文件，采购人不予受理。</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val="en-US" w:eastAsia="zh-CN"/>
        </w:rPr>
        <w:t>八</w:t>
      </w:r>
      <w:r>
        <w:rPr>
          <w:rFonts w:hint="eastAsia" w:ascii="黑体" w:hAnsi="黑体" w:eastAsia="黑体" w:cs="黑体"/>
          <w:b w:val="0"/>
          <w:bCs w:val="0"/>
          <w:sz w:val="24"/>
          <w:szCs w:val="24"/>
          <w:lang w:eastAsia="zh-CN"/>
        </w:rPr>
        <w:t>、评</w:t>
      </w:r>
      <w:r>
        <w:rPr>
          <w:rFonts w:hint="eastAsia" w:ascii="黑体" w:hAnsi="黑体" w:eastAsia="黑体" w:cs="黑体"/>
          <w:b w:val="0"/>
          <w:bCs w:val="0"/>
          <w:sz w:val="24"/>
          <w:szCs w:val="24"/>
          <w:lang w:val="en-US" w:eastAsia="zh-CN"/>
        </w:rPr>
        <w:t>审</w:t>
      </w:r>
      <w:r>
        <w:rPr>
          <w:rFonts w:hint="eastAsia" w:ascii="黑体" w:hAnsi="黑体" w:eastAsia="黑体" w:cs="黑体"/>
          <w:b w:val="0"/>
          <w:bCs w:val="0"/>
          <w:sz w:val="24"/>
          <w:szCs w:val="24"/>
          <w:lang w:eastAsia="zh-CN"/>
        </w:rPr>
        <w:t>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1.评审组织：采购人依法组建询价小组，成员共3人及以上单数。评审会议由采购人主持，评审小组成员及有关工作人员参加。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过程的保密性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评审开始</w:t>
      </w:r>
      <w:r>
        <w:rPr>
          <w:rFonts w:hint="eastAsia" w:ascii="宋体" w:hAnsi="宋体" w:eastAsia="宋体" w:cs="宋体"/>
          <w:b w:val="0"/>
          <w:bCs w:val="0"/>
          <w:sz w:val="24"/>
          <w:szCs w:val="24"/>
          <w:lang w:eastAsia="zh-CN"/>
        </w:rPr>
        <w:t>后直至向中标人授予合同时止，凡与评审有关的资料均不得向</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人及与评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无关人员透露。如果</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人在评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过程中试图向采购人施加影响，其</w:t>
      </w:r>
      <w:r>
        <w:rPr>
          <w:rFonts w:hint="eastAsia" w:ascii="宋体" w:hAnsi="宋体" w:eastAsia="宋体" w:cs="宋体"/>
          <w:b w:val="0"/>
          <w:bCs w:val="0"/>
          <w:sz w:val="24"/>
          <w:szCs w:val="24"/>
          <w:lang w:val="en-US" w:eastAsia="zh-CN"/>
        </w:rPr>
        <w:t>响应文件</w:t>
      </w:r>
      <w:r>
        <w:rPr>
          <w:rFonts w:hint="eastAsia" w:ascii="宋体" w:hAnsi="宋体" w:eastAsia="宋体" w:cs="宋体"/>
          <w:b w:val="0"/>
          <w:bCs w:val="0"/>
          <w:sz w:val="24"/>
          <w:szCs w:val="24"/>
          <w:lang w:eastAsia="zh-CN"/>
        </w:rPr>
        <w:t>将被拒绝。</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无效的情形</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出现下列情况之一者（但不限于），按无效文件处理：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A、供应商的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报价超过采购预算的；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B、供应商未经过正常渠道获取</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，或供应商名称与获取</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时登记的供应商名称不符的；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C、供应商针对同一项目递交两份或多份内容不同的</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，未书面声明哪一份是有效的或出现选择性报价的；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D、</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在商务方面附加了采购人难以接受的条件或条款的；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E、</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产品的技术参数、性能指标与</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要求出现重大负偏差的；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供应商串通投标的情形</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有下列情形之一的，视为供应商串通投标，</w:t>
      </w:r>
      <w:r>
        <w:rPr>
          <w:rFonts w:hint="eastAsia" w:ascii="宋体" w:hAnsi="宋体" w:eastAsia="宋体" w:cs="宋体"/>
          <w:b/>
          <w:bCs/>
          <w:sz w:val="24"/>
          <w:szCs w:val="24"/>
          <w:lang w:val="en-US" w:eastAsia="zh-CN"/>
        </w:rPr>
        <w:t>评审</w:t>
      </w:r>
      <w:r>
        <w:rPr>
          <w:rFonts w:hint="eastAsia" w:ascii="宋体" w:hAnsi="宋体" w:eastAsia="宋体" w:cs="宋体"/>
          <w:b/>
          <w:bCs/>
          <w:sz w:val="24"/>
          <w:szCs w:val="24"/>
          <w:lang w:eastAsia="zh-CN"/>
        </w:rPr>
        <w:t>小组应当认定其</w:t>
      </w:r>
      <w:r>
        <w:rPr>
          <w:rFonts w:hint="eastAsia" w:ascii="宋体" w:hAnsi="宋体" w:cs="宋体"/>
          <w:b/>
          <w:bCs/>
          <w:sz w:val="24"/>
          <w:szCs w:val="24"/>
          <w:lang w:val="en-US" w:eastAsia="zh-CN"/>
        </w:rPr>
        <w:t>响应</w:t>
      </w:r>
      <w:r>
        <w:rPr>
          <w:rFonts w:hint="eastAsia" w:ascii="宋体" w:hAnsi="宋体" w:eastAsia="宋体" w:cs="宋体"/>
          <w:b/>
          <w:bCs/>
          <w:sz w:val="24"/>
          <w:szCs w:val="24"/>
          <w:lang w:eastAsia="zh-CN"/>
        </w:rPr>
        <w:t>文件无效，同时将串通投标的的供应商列入黑名单：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A、不同供应商的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文件由同一单位或者个人编制；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B、不同供应商委托同一单位或者个人办理</w:t>
      </w:r>
      <w:r>
        <w:rPr>
          <w:rFonts w:hint="eastAsia" w:ascii="宋体" w:hAnsi="宋体" w:cs="宋体"/>
          <w:b w:val="0"/>
          <w:bCs w:val="0"/>
          <w:sz w:val="24"/>
          <w:szCs w:val="24"/>
          <w:lang w:val="en-US" w:eastAsia="zh-CN"/>
        </w:rPr>
        <w:t>项目</w:t>
      </w:r>
      <w:r>
        <w:rPr>
          <w:rFonts w:hint="eastAsia" w:ascii="宋体" w:hAnsi="宋体" w:eastAsia="宋体" w:cs="宋体"/>
          <w:b w:val="0"/>
          <w:bCs w:val="0"/>
          <w:sz w:val="24"/>
          <w:szCs w:val="24"/>
          <w:lang w:eastAsia="zh-CN"/>
        </w:rPr>
        <w:t xml:space="preserve">事宜；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C、不同供应商的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文件载明的项目管理成员或者联系人员为同一人；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D、不同供应商的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文件异常一致或者</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报价呈规律性差异；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E、不同供应商的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文件相互混装；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F、不同供应商的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保证金从同一单位或者个人的账户转出；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G、不同供应商存在关联关系的。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eastAsia="zh-CN"/>
        </w:rPr>
        <w:t>.评标原则和评标办法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评审小组成员应当按照客观、公正、审慎的原则，根据</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文件规定的评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程序、评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方法和评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标准进行独立评审。</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文件内容违反国家有关强制性规定的，评审小组应当停止并向采购人说明情况。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（2）评审中因评审小组成员缺席、回避或者健康等特殊原因导致评审小组组成不符合规定的，依法补足后继续评审。被更换的评审小组成员所作出的评审意见无效。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（3）评审小组成员对需要共同认定的事项存在争议的，应当按照少数服从多数的原则作出结论。持不同意见的评审小组成员应当在评审报告上签署不同意见及理由，否则视为同意评审报告。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（4）评审过程中遇到特殊情况，由评审小组遵循公开、公正原则，采取投票方式按照少数服从多数原则决定。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）采用综合评分法：按照</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中规定的各项因素进行综合评审，以总平均分最高的供应商作为成交供应商的评审方法。若有两个或两个以上最高得分相同，推荐其中报价最低的供应商为成交候选供应商。评审总得分且最后报价相同的，按照技术指标优劣顺序推荐。最低报价不是成交的唯一依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）评审小组根据</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内容进行综合比较，自主打分，按最后得分由高到低汇总排序，并整理最终评审意见。如果评审小组出现对评审结果有不同意见的，应当书面签署不同意见和理由。评审小组拒绝在评审意见中签字又不书面说明其不同意见和理由的，视为同意评审结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小组须对畸高、畸低的重大差异评分进行复核或书面说明理由。</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）评审内容及分值构成（总分100分）：</w:t>
      </w:r>
    </w:p>
    <w:tbl>
      <w:tblPr>
        <w:tblStyle w:val="16"/>
        <w:tblW w:w="8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162"/>
        <w:gridCol w:w="544"/>
        <w:gridCol w:w="6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序号</w:t>
            </w:r>
          </w:p>
        </w:tc>
        <w:tc>
          <w:tcPr>
            <w:tcW w:w="1162"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评审因素</w:t>
            </w:r>
          </w:p>
        </w:tc>
        <w:tc>
          <w:tcPr>
            <w:tcW w:w="544"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分值</w:t>
            </w:r>
          </w:p>
        </w:tc>
        <w:tc>
          <w:tcPr>
            <w:tcW w:w="6269" w:type="dxa"/>
            <w:noWrap w:val="0"/>
            <w:vAlign w:val="center"/>
          </w:tcPr>
          <w:p>
            <w:pPr>
              <w:pStyle w:val="20"/>
              <w:keepNext w:val="0"/>
              <w:keepLines w:val="0"/>
              <w:pageBreakBefore w:val="0"/>
              <w:kinsoku/>
              <w:wordWrap/>
              <w:topLinePunct w:val="0"/>
              <w:bidi w:val="0"/>
              <w:spacing w:line="360" w:lineRule="exact"/>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Cs/>
                <w:color w:val="auto"/>
                <w:spacing w:val="-6"/>
                <w:sz w:val="24"/>
                <w:szCs w:val="24"/>
                <w:highlight w:val="none"/>
                <w:lang w:bidi="ar-SA"/>
              </w:rPr>
            </w:pPr>
            <w:r>
              <w:rPr>
                <w:rFonts w:hint="eastAsia" w:ascii="宋体" w:hAnsi="宋体" w:eastAsia="宋体" w:cs="宋体"/>
                <w:color w:val="auto"/>
                <w:sz w:val="24"/>
                <w:szCs w:val="24"/>
                <w:highlight w:val="none"/>
                <w:lang w:bidi="ar-SA"/>
              </w:rPr>
              <w:t>1</w:t>
            </w:r>
          </w:p>
        </w:tc>
        <w:tc>
          <w:tcPr>
            <w:tcW w:w="1162"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报价</w:t>
            </w:r>
          </w:p>
        </w:tc>
        <w:tc>
          <w:tcPr>
            <w:tcW w:w="544"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3</w:t>
            </w:r>
            <w:r>
              <w:rPr>
                <w:rFonts w:hint="eastAsia" w:ascii="宋体" w:hAnsi="宋体" w:eastAsia="宋体" w:cs="宋体"/>
                <w:color w:val="auto"/>
                <w:sz w:val="24"/>
                <w:szCs w:val="24"/>
                <w:highlight w:val="none"/>
                <w:lang w:bidi="ar-SA"/>
              </w:rPr>
              <w:t>0</w:t>
            </w:r>
          </w:p>
        </w:tc>
        <w:tc>
          <w:tcPr>
            <w:tcW w:w="6269" w:type="dxa"/>
            <w:noWrap w:val="0"/>
            <w:vAlign w:val="center"/>
          </w:tcPr>
          <w:p>
            <w:pPr>
              <w:keepNext w:val="0"/>
              <w:keepLines w:val="0"/>
              <w:pageBreakBefore w:val="0"/>
              <w:kinsoku/>
              <w:wordWrap/>
              <w:topLinePunct w:val="0"/>
              <w:bidi w:val="0"/>
              <w:spacing w:line="360" w:lineRule="exact"/>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价格分采用低价优先法计算，即满足采购项目要求且</w:t>
            </w:r>
            <w:r>
              <w:rPr>
                <w:rFonts w:hint="eastAsia" w:ascii="宋体" w:hAnsi="宋体" w:cs="宋体"/>
                <w:color w:val="auto"/>
                <w:sz w:val="24"/>
                <w:szCs w:val="24"/>
                <w:highlight w:val="none"/>
                <w:lang w:val="en-US" w:eastAsia="zh-CN" w:bidi="ar-SA"/>
              </w:rPr>
              <w:t>响应</w:t>
            </w:r>
            <w:r>
              <w:rPr>
                <w:rFonts w:hint="eastAsia" w:ascii="宋体" w:hAnsi="宋体" w:eastAsia="宋体" w:cs="宋体"/>
                <w:color w:val="auto"/>
                <w:sz w:val="24"/>
                <w:szCs w:val="24"/>
                <w:highlight w:val="none"/>
                <w:lang w:bidi="ar-SA"/>
              </w:rPr>
              <w:t>价格最低的有效</w:t>
            </w:r>
            <w:r>
              <w:rPr>
                <w:rFonts w:hint="eastAsia" w:ascii="宋体" w:hAnsi="宋体" w:cs="宋体"/>
                <w:color w:val="auto"/>
                <w:sz w:val="24"/>
                <w:szCs w:val="24"/>
                <w:highlight w:val="none"/>
                <w:lang w:val="en-US" w:eastAsia="zh-CN" w:bidi="ar-SA"/>
              </w:rPr>
              <w:t>响应</w:t>
            </w:r>
            <w:r>
              <w:rPr>
                <w:rFonts w:hint="eastAsia" w:ascii="宋体" w:hAnsi="宋体" w:eastAsia="宋体" w:cs="宋体"/>
                <w:color w:val="auto"/>
                <w:sz w:val="24"/>
                <w:szCs w:val="24"/>
                <w:highlight w:val="none"/>
                <w:lang w:bidi="ar-SA"/>
              </w:rPr>
              <w:t>报价为基准价，其价格分为满分：</w:t>
            </w:r>
          </w:p>
          <w:p>
            <w:pPr>
              <w:keepNext w:val="0"/>
              <w:keepLines w:val="0"/>
              <w:pageBreakBefore w:val="0"/>
              <w:kinsoku/>
              <w:wordWrap/>
              <w:topLinePunct w:val="0"/>
              <w:bidi w:val="0"/>
              <w:spacing w:line="360" w:lineRule="exact"/>
              <w:outlineLvl w:val="9"/>
              <w:rPr>
                <w:rFonts w:hint="eastAsia" w:ascii="宋体" w:hAnsi="宋体" w:eastAsia="宋体" w:cs="宋体"/>
                <w:b/>
                <w:bCs/>
                <w:sz w:val="24"/>
                <w:szCs w:val="24"/>
              </w:rPr>
            </w:pPr>
            <w:r>
              <w:rPr>
                <w:rFonts w:hint="eastAsia" w:ascii="宋体" w:hAnsi="宋体" w:eastAsia="宋体" w:cs="宋体"/>
                <w:b/>
                <w:bCs/>
                <w:color w:val="auto"/>
                <w:sz w:val="24"/>
                <w:szCs w:val="24"/>
                <w:highlight w:val="none"/>
                <w:lang w:bidi="ar-SA"/>
              </w:rPr>
              <w:t>报价得分=（基准价/有效响应报价）×</w:t>
            </w:r>
            <w:r>
              <w:rPr>
                <w:rFonts w:hint="eastAsia" w:ascii="宋体" w:hAnsi="宋体" w:eastAsia="宋体" w:cs="宋体"/>
                <w:b/>
                <w:bCs/>
                <w:color w:val="auto"/>
                <w:sz w:val="24"/>
                <w:szCs w:val="24"/>
                <w:highlight w:val="none"/>
                <w:lang w:val="en-US" w:eastAsia="zh-CN" w:bidi="ar-SA"/>
              </w:rPr>
              <w:t>3</w:t>
            </w:r>
            <w:r>
              <w:rPr>
                <w:rFonts w:hint="eastAsia" w:ascii="宋体" w:hAnsi="宋体" w:eastAsia="宋体" w:cs="宋体"/>
                <w:b/>
                <w:bCs/>
                <w:color w:val="auto"/>
                <w:sz w:val="24"/>
                <w:szCs w:val="24"/>
                <w:highlight w:val="none"/>
                <w:lang w:bidi="ar-S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3</w:t>
            </w:r>
          </w:p>
        </w:tc>
        <w:tc>
          <w:tcPr>
            <w:tcW w:w="1162" w:type="dxa"/>
            <w:noWrap w:val="0"/>
            <w:vAlign w:val="center"/>
          </w:tcPr>
          <w:p>
            <w:pPr>
              <w:adjustRightInd w:val="0"/>
              <w:snapToGrid w:val="0"/>
              <w:spacing w:line="288" w:lineRule="auto"/>
              <w:jc w:val="center"/>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sz w:val="24"/>
                <w:szCs w:val="24"/>
                <w:highlight w:val="none"/>
                <w:lang w:bidi="ar-SA"/>
              </w:rPr>
              <w:t>技术响应程度</w:t>
            </w:r>
          </w:p>
        </w:tc>
        <w:tc>
          <w:tcPr>
            <w:tcW w:w="544" w:type="dxa"/>
            <w:noWrap w:val="0"/>
            <w:vAlign w:val="center"/>
          </w:tcPr>
          <w:p>
            <w:pPr>
              <w:adjustRightInd w:val="0"/>
              <w:snapToGrid w:val="0"/>
              <w:spacing w:line="360" w:lineRule="exact"/>
              <w:jc w:val="center"/>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40</w:t>
            </w:r>
          </w:p>
        </w:tc>
        <w:tc>
          <w:tcPr>
            <w:tcW w:w="6269" w:type="dxa"/>
            <w:noWrap w:val="0"/>
            <w:vAlign w:val="center"/>
          </w:tcPr>
          <w:p>
            <w:pPr>
              <w:tabs>
                <w:tab w:val="left" w:pos="2150"/>
              </w:tabs>
              <w:spacing w:line="360" w:lineRule="exact"/>
              <w:jc w:val="left"/>
              <w:outlineLvl w:val="9"/>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eastAsia="zh-CN" w:bidi="ar-SA"/>
              </w:rPr>
              <w:t>根据所投产品配置及技术参数的符合性打分：</w:t>
            </w:r>
            <w:r>
              <w:rPr>
                <w:rFonts w:hint="eastAsia" w:ascii="宋体" w:hAnsi="宋体" w:eastAsia="宋体" w:cs="宋体"/>
                <w:color w:val="auto"/>
                <w:sz w:val="24"/>
                <w:szCs w:val="24"/>
                <w:highlight w:val="none"/>
                <w:lang w:val="en-US" w:eastAsia="zh-CN" w:bidi="ar-SA"/>
              </w:rPr>
              <w:t>共计10个“</w:t>
            </w:r>
            <w:r>
              <w:rPr>
                <w:rFonts w:hint="eastAsia" w:ascii="宋体" w:hAnsi="宋体" w:eastAsia="宋体" w:cs="宋体"/>
                <w:b/>
                <w:bCs/>
                <w:color w:val="auto"/>
                <w:sz w:val="24"/>
                <w:szCs w:val="24"/>
                <w:highlight w:val="none"/>
                <w:u w:val="none"/>
                <w:lang w:eastAsia="zh-CN" w:bidi="ar-SA"/>
              </w:rPr>
              <w:t>#</w:t>
            </w:r>
            <w:r>
              <w:rPr>
                <w:rFonts w:hint="eastAsia" w:ascii="宋体" w:hAnsi="宋体" w:eastAsia="宋体" w:cs="宋体"/>
                <w:color w:val="auto"/>
                <w:sz w:val="24"/>
                <w:szCs w:val="24"/>
                <w:highlight w:val="none"/>
                <w:lang w:val="en-US" w:eastAsia="zh-CN" w:bidi="ar-SA"/>
              </w:rPr>
              <w:t>”评分点，每满足一个</w:t>
            </w:r>
            <w:r>
              <w:rPr>
                <w:rFonts w:hint="eastAsia" w:ascii="宋体" w:hAnsi="宋体" w:eastAsia="宋体" w:cs="宋体"/>
                <w:color w:val="auto"/>
                <w:sz w:val="24"/>
                <w:szCs w:val="24"/>
                <w:highlight w:val="none"/>
                <w:lang w:eastAsia="zh-CN" w:bidi="ar-SA"/>
              </w:rPr>
              <w:t>“</w:t>
            </w:r>
            <w:r>
              <w:rPr>
                <w:rFonts w:hint="eastAsia" w:ascii="宋体" w:hAnsi="宋体" w:eastAsia="宋体" w:cs="宋体"/>
                <w:b/>
                <w:bCs/>
                <w:color w:val="auto"/>
                <w:sz w:val="24"/>
                <w:szCs w:val="24"/>
                <w:highlight w:val="none"/>
                <w:u w:val="none"/>
                <w:lang w:eastAsia="zh-CN" w:bidi="ar-SA"/>
              </w:rPr>
              <w:t>#</w:t>
            </w: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sz w:val="24"/>
                <w:szCs w:val="24"/>
                <w:highlight w:val="none"/>
                <w:lang w:val="en-US" w:eastAsia="zh-CN" w:bidi="ar-SA"/>
              </w:rPr>
              <w:t>得4分，最高40分</w:t>
            </w:r>
            <w:r>
              <w:rPr>
                <w:rFonts w:hint="eastAsia" w:ascii="宋体" w:hAnsi="宋体" w:eastAsia="宋体" w:cs="宋体"/>
                <w:color w:val="auto"/>
                <w:sz w:val="24"/>
                <w:szCs w:val="24"/>
                <w:highlight w:val="none"/>
                <w:lang w:eastAsia="zh-CN" w:bidi="ar-SA"/>
              </w:rPr>
              <w:t>。</w:t>
            </w:r>
          </w:p>
          <w:p>
            <w:pPr>
              <w:tabs>
                <w:tab w:val="left" w:pos="2150"/>
              </w:tabs>
              <w:spacing w:line="360" w:lineRule="exact"/>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eastAsia="zh-CN" w:bidi="ar-SA"/>
              </w:rPr>
              <w:t>注：偏离项须在偏离表中明确，</w:t>
            </w:r>
            <w:r>
              <w:rPr>
                <w:rFonts w:hint="eastAsia" w:ascii="宋体" w:hAnsi="宋体" w:eastAsia="宋体" w:cs="宋体"/>
                <w:b/>
                <w:bCs/>
                <w:color w:val="auto"/>
                <w:sz w:val="24"/>
                <w:szCs w:val="24"/>
                <w:highlight w:val="none"/>
                <w:lang w:val="en-US" w:eastAsia="zh-CN" w:bidi="ar-SA"/>
              </w:rPr>
              <w:t>无偏离或</w:t>
            </w:r>
            <w:r>
              <w:rPr>
                <w:rFonts w:hint="eastAsia" w:ascii="宋体" w:hAnsi="宋体" w:eastAsia="宋体" w:cs="宋体"/>
                <w:b/>
                <w:bCs/>
                <w:color w:val="auto"/>
                <w:sz w:val="24"/>
                <w:szCs w:val="24"/>
                <w:highlight w:val="none"/>
                <w:lang w:eastAsia="zh-CN" w:bidi="ar-SA"/>
              </w:rPr>
              <w:t>正偏离视为满足。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w:t>
            </w:r>
          </w:p>
        </w:tc>
        <w:tc>
          <w:tcPr>
            <w:tcW w:w="1162"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供货方案</w:t>
            </w:r>
          </w:p>
        </w:tc>
        <w:tc>
          <w:tcPr>
            <w:tcW w:w="544"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1</w:t>
            </w:r>
            <w:r>
              <w:rPr>
                <w:rFonts w:hint="eastAsia" w:ascii="宋体" w:hAnsi="宋体" w:cs="宋体"/>
                <w:color w:val="auto"/>
                <w:spacing w:val="-6"/>
                <w:sz w:val="24"/>
                <w:szCs w:val="24"/>
                <w:highlight w:val="none"/>
                <w:lang w:val="en-US" w:eastAsia="zh-CN" w:bidi="ar-SA"/>
              </w:rPr>
              <w:t>5</w:t>
            </w:r>
          </w:p>
        </w:tc>
        <w:tc>
          <w:tcPr>
            <w:tcW w:w="6269" w:type="dxa"/>
            <w:noWrap w:val="0"/>
            <w:vAlign w:val="center"/>
          </w:tcPr>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方案：包括产品供货时间安排、运输方式、现场安全措施、风险应对措施、应急预案等进行综合评分：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方案内容完整、合理、针对性强，能够充分满足项目需要并逐条说明的得</w:t>
            </w:r>
            <w:r>
              <w:rPr>
                <w:rFonts w:hint="eastAsia" w:ascii="宋体" w:hAnsi="宋体" w:cs="宋体"/>
                <w:color w:val="auto"/>
                <w:kern w:val="0"/>
                <w:sz w:val="24"/>
                <w:szCs w:val="24"/>
                <w:highlight w:val="none"/>
                <w:lang w:val="en-US" w:eastAsia="zh-CN" w:bidi="ar-SA"/>
              </w:rPr>
              <w:t>10</w:t>
            </w:r>
            <w:r>
              <w:rPr>
                <w:rFonts w:hint="eastAsia" w:ascii="宋体" w:hAnsi="宋体" w:eastAsia="宋体" w:cs="宋体"/>
                <w:color w:val="auto"/>
                <w:kern w:val="0"/>
                <w:sz w:val="24"/>
                <w:szCs w:val="24"/>
                <w:highlight w:val="none"/>
                <w:lang w:val="en-US" w:eastAsia="zh-CN" w:bidi="ar-SA"/>
              </w:rPr>
              <w:t>分至1</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方案合理、可行、有针对性，但不够完整或不够细致，能基本满足项目需要的得</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分至</w:t>
            </w:r>
            <w:r>
              <w:rPr>
                <w:rFonts w:hint="eastAsia" w:ascii="宋体" w:hAnsi="宋体" w:cs="宋体"/>
                <w:color w:val="auto"/>
                <w:kern w:val="0"/>
                <w:sz w:val="24"/>
                <w:szCs w:val="24"/>
                <w:highlight w:val="none"/>
                <w:lang w:val="en-US" w:eastAsia="zh-CN" w:bidi="ar-SA"/>
              </w:rPr>
              <w:t>9</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方案合理性一般，存在缺漏的得</w:t>
            </w:r>
            <w:r>
              <w:rPr>
                <w:rFonts w:hint="eastAsia" w:ascii="宋体" w:hAnsi="宋体" w:eastAsia="宋体" w:cs="宋体"/>
                <w:color w:val="auto"/>
                <w:kern w:val="0"/>
                <w:sz w:val="24"/>
                <w:szCs w:val="24"/>
                <w:highlight w:val="none"/>
                <w:lang w:val="en-US" w:eastAsia="zh-CN" w:bidi="ar-SA"/>
              </w:rPr>
              <w:t>1分至</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zh-CN" w:eastAsia="zh-CN" w:bidi="ar-SA"/>
              </w:rPr>
              <w:t>分；</w:t>
            </w:r>
          </w:p>
          <w:p>
            <w:pPr>
              <w:pStyle w:val="2"/>
              <w:outlineLvl w:val="9"/>
              <w:rPr>
                <w:rFonts w:hint="eastAsia" w:ascii="宋体" w:hAnsi="宋体" w:eastAsia="宋体" w:cs="宋体"/>
                <w:sz w:val="24"/>
                <w:szCs w:val="24"/>
                <w:lang w:val="en-US" w:eastAsia="zh-CN"/>
              </w:rPr>
            </w:pPr>
            <w:r>
              <w:rPr>
                <w:rFonts w:hint="eastAsia" w:ascii="宋体" w:hAnsi="宋体" w:eastAsia="宋体" w:cs="宋体"/>
                <w:color w:val="auto"/>
                <w:kern w:val="0"/>
                <w:sz w:val="24"/>
                <w:szCs w:val="24"/>
                <w:highlight w:val="none"/>
                <w:lang w:val="zh-CN" w:eastAsia="zh-CN" w:bidi="ar-SA"/>
              </w:rPr>
              <w:t>4.未提供不得分。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9"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w:t>
            </w:r>
          </w:p>
        </w:tc>
        <w:tc>
          <w:tcPr>
            <w:tcW w:w="1162"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zh-CN" w:eastAsia="zh-CN" w:bidi="ar-SA"/>
              </w:rPr>
              <w:t>售后服务方案</w:t>
            </w:r>
          </w:p>
        </w:tc>
        <w:tc>
          <w:tcPr>
            <w:tcW w:w="544"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1</w:t>
            </w:r>
            <w:r>
              <w:rPr>
                <w:rFonts w:hint="eastAsia" w:ascii="宋体" w:hAnsi="宋体" w:cs="宋体"/>
                <w:color w:val="auto"/>
                <w:spacing w:val="-6"/>
                <w:sz w:val="24"/>
                <w:szCs w:val="24"/>
                <w:highlight w:val="none"/>
                <w:lang w:val="en-US" w:eastAsia="zh-CN" w:bidi="ar-SA"/>
              </w:rPr>
              <w:t>5</w:t>
            </w:r>
          </w:p>
        </w:tc>
        <w:tc>
          <w:tcPr>
            <w:tcW w:w="6269" w:type="dxa"/>
            <w:noWrap w:val="0"/>
            <w:vAlign w:val="center"/>
          </w:tcPr>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售后服务方案：包括针对本项目提供的售后服务机构</w:t>
            </w:r>
            <w:r>
              <w:rPr>
                <w:rFonts w:hint="eastAsia" w:ascii="宋体" w:hAnsi="宋体" w:cs="宋体"/>
                <w:color w:val="auto"/>
                <w:kern w:val="0"/>
                <w:sz w:val="24"/>
                <w:szCs w:val="24"/>
                <w:highlight w:val="none"/>
                <w:lang w:val="zh-CN" w:eastAsia="zh-CN" w:bidi="ar-SA"/>
              </w:rPr>
              <w:t>、</w:t>
            </w:r>
            <w:r>
              <w:rPr>
                <w:rFonts w:hint="eastAsia" w:ascii="宋体" w:hAnsi="宋体" w:eastAsia="宋体" w:cs="宋体"/>
                <w:color w:val="auto"/>
                <w:kern w:val="0"/>
                <w:sz w:val="24"/>
                <w:szCs w:val="24"/>
                <w:highlight w:val="none"/>
                <w:lang w:val="zh-CN" w:eastAsia="zh-CN" w:bidi="ar-SA"/>
              </w:rPr>
              <w:t>配送服务、退换服务等方面进行综合评分：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服务方案内容完整、合理、针对性强，能够充分满足项目需要并逐条说明的得</w:t>
            </w:r>
            <w:r>
              <w:rPr>
                <w:rFonts w:hint="eastAsia" w:ascii="宋体" w:hAnsi="宋体" w:cs="宋体"/>
                <w:color w:val="auto"/>
                <w:kern w:val="0"/>
                <w:sz w:val="24"/>
                <w:szCs w:val="24"/>
                <w:highlight w:val="none"/>
                <w:lang w:val="en-US" w:eastAsia="zh-CN" w:bidi="ar-SA"/>
              </w:rPr>
              <w:t>10</w:t>
            </w:r>
            <w:r>
              <w:rPr>
                <w:rFonts w:hint="eastAsia" w:ascii="宋体" w:hAnsi="宋体" w:eastAsia="宋体" w:cs="宋体"/>
                <w:color w:val="auto"/>
                <w:kern w:val="0"/>
                <w:sz w:val="24"/>
                <w:szCs w:val="24"/>
                <w:highlight w:val="none"/>
                <w:lang w:val="en-US" w:eastAsia="zh-CN" w:bidi="ar-SA"/>
              </w:rPr>
              <w:t>分至1</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服务方案合理、可行、有针对性，但不够完整或不够细致，能基本满足项目需要的得</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分至</w:t>
            </w:r>
            <w:r>
              <w:rPr>
                <w:rFonts w:hint="eastAsia" w:ascii="宋体" w:hAnsi="宋体" w:cs="宋体"/>
                <w:color w:val="auto"/>
                <w:kern w:val="0"/>
                <w:sz w:val="24"/>
                <w:szCs w:val="24"/>
                <w:highlight w:val="none"/>
                <w:lang w:val="en-US" w:eastAsia="zh-CN" w:bidi="ar-SA"/>
              </w:rPr>
              <w:t>9</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服务方案合理性一般，存在缺漏的得</w:t>
            </w:r>
            <w:r>
              <w:rPr>
                <w:rFonts w:hint="eastAsia" w:ascii="宋体" w:hAnsi="宋体" w:eastAsia="宋体" w:cs="宋体"/>
                <w:color w:val="auto"/>
                <w:kern w:val="0"/>
                <w:sz w:val="24"/>
                <w:szCs w:val="24"/>
                <w:highlight w:val="none"/>
                <w:lang w:val="en-US" w:eastAsia="zh-CN" w:bidi="ar-SA"/>
              </w:rPr>
              <w:t>1分至</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sz w:val="24"/>
                <w:szCs w:val="24"/>
                <w:lang w:val="en-US" w:eastAsia="zh-CN"/>
              </w:rPr>
            </w:pPr>
            <w:r>
              <w:rPr>
                <w:rFonts w:hint="eastAsia" w:ascii="宋体" w:hAnsi="宋体" w:eastAsia="宋体" w:cs="宋体"/>
                <w:color w:val="auto"/>
                <w:kern w:val="0"/>
                <w:sz w:val="24"/>
                <w:szCs w:val="24"/>
                <w:highlight w:val="none"/>
                <w:lang w:val="zh-CN" w:eastAsia="zh-CN" w:bidi="ar-SA"/>
              </w:rPr>
              <w:t>4.未提供不得分。</w:t>
            </w:r>
          </w:p>
        </w:tc>
      </w:tr>
    </w:tbl>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4" w:name="_Toc24836"/>
      <w:r>
        <w:rPr>
          <w:rFonts w:hint="eastAsia" w:ascii="宋体" w:hAnsi="宋体" w:eastAsia="宋体" w:cs="宋体"/>
          <w:b/>
          <w:bCs/>
          <w:sz w:val="32"/>
          <w:szCs w:val="32"/>
          <w:lang w:eastAsia="zh-CN"/>
        </w:rPr>
        <w:br w:type="page"/>
      </w:r>
      <w:r>
        <w:rPr>
          <w:rFonts w:hint="eastAsia" w:ascii="宋体" w:hAnsi="宋体" w:eastAsia="宋体" w:cs="宋体"/>
          <w:b/>
          <w:bCs/>
          <w:sz w:val="32"/>
          <w:szCs w:val="32"/>
          <w:lang w:eastAsia="zh-CN"/>
        </w:rPr>
        <w:t>第二章 采购需求</w:t>
      </w:r>
      <w:bookmarkEnd w:id="4"/>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一、项目概况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（一）项目背景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为保障日常工作开展，采购人依据本单位内部采购管理相关规定，拟通过询价采购方式实施本项目，择优选定合格供应商提供对应货物及配套服务。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（二）采购目的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通过本次采购，获取符合国家及行业标准、满足采购人实际使用需求的图形工作站，实现提升运行效率、保障业务连续、满足规范要求的核心目标，为采购人各项工作开展提供稳定的物资与服务支撑。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（三）实施范围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lang w:val="en-US" w:eastAsia="zh-CN"/>
        </w:rPr>
      </w:pPr>
      <w:r>
        <w:rPr>
          <w:rFonts w:hint="eastAsia" w:ascii="宋体" w:hAnsi="宋体" w:eastAsia="宋体" w:cs="宋体"/>
          <w:b w:val="0"/>
          <w:bCs w:val="0"/>
          <w:sz w:val="24"/>
          <w:szCs w:val="24"/>
          <w:lang w:val="en-US" w:eastAsia="zh-CN"/>
        </w:rPr>
        <w:t>本次采购实施范围涵盖采购标的的供货、运输配送、验收交付、质保期等全流程全部工作内容；实施地点为采购人指定的办公区；项目周期自合同签订生效之日起，至全部合同义务履行完毕止。</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二、技术要求</w:t>
      </w:r>
    </w:p>
    <w:p>
      <w:pPr>
        <w:widowControl/>
        <w:spacing w:after="0" w:line="240" w:lineRule="auto"/>
        <w:ind w:firstLine="482" w:firstLineChars="200"/>
        <w:jc w:val="left"/>
        <w:outlineLvl w:val="9"/>
        <w:rPr>
          <w:rFonts w:hint="eastAsia" w:ascii="宋体" w:hAnsi="宋体" w:eastAsia="宋体" w:cs="宋体"/>
          <w:b/>
          <w:bCs/>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bidi="ar-SA"/>
        </w:rPr>
        <w:t>注：重要性分为“★”和“#”。标“</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”为响应的实质性要求和条件，必须作出实质性响应，否则响应无效。“</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w:t>
      </w:r>
      <w:r>
        <w:rPr>
          <w:rFonts w:hint="eastAsia" w:ascii="宋体" w:hAnsi="宋体" w:eastAsia="宋体" w:cs="宋体"/>
          <w:b/>
          <w:bCs/>
          <w:color w:val="auto"/>
          <w:kern w:val="0"/>
          <w:sz w:val="24"/>
          <w:szCs w:val="24"/>
          <w:highlight w:val="none"/>
          <w:u w:val="none"/>
          <w:lang w:val="en-US" w:eastAsia="zh-CN" w:bidi="ar-SA"/>
        </w:rPr>
        <w:t>为重要指标。</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color w:val="auto"/>
          <w:kern w:val="0"/>
          <w:sz w:val="24"/>
          <w:szCs w:val="24"/>
          <w:highlight w:val="none"/>
          <w:u w:val="none"/>
          <w:lang w:bidi="ar-SA"/>
        </w:rPr>
        <w:t>“证明材料”填“是”的，</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人须提供按照对应指标要求提供相应</w:t>
      </w:r>
      <w:r>
        <w:rPr>
          <w:rFonts w:hint="eastAsia" w:ascii="宋体" w:hAnsi="宋体" w:eastAsia="宋体" w:cs="宋体"/>
          <w:color w:val="auto"/>
          <w:kern w:val="0"/>
          <w:sz w:val="24"/>
          <w:szCs w:val="24"/>
          <w:highlight w:val="none"/>
          <w:u w:val="none"/>
          <w:lang w:val="en-US" w:eastAsia="zh-CN" w:bidi="ar-SA"/>
        </w:rPr>
        <w:t>技术</w:t>
      </w:r>
      <w:r>
        <w:rPr>
          <w:rFonts w:hint="eastAsia" w:ascii="宋体" w:hAnsi="宋体" w:eastAsia="宋体" w:cs="宋体"/>
          <w:color w:val="auto"/>
          <w:kern w:val="0"/>
          <w:sz w:val="24"/>
          <w:szCs w:val="24"/>
          <w:highlight w:val="none"/>
          <w:u w:val="none"/>
          <w:lang w:bidi="ar-SA"/>
        </w:rPr>
        <w:t>证明材料。</w:t>
      </w:r>
    </w:p>
    <w:p>
      <w:pPr>
        <w:widowControl/>
        <w:spacing w:after="0" w:line="240" w:lineRule="auto"/>
        <w:ind w:firstLine="480" w:firstLineChars="200"/>
        <w:jc w:val="left"/>
        <w:outlineLvl w:val="9"/>
        <w:rPr>
          <w:rFonts w:hint="eastAsia" w:ascii="宋体" w:hAnsi="宋体" w:eastAsia="宋体" w:cs="宋体"/>
          <w:b/>
          <w:bCs/>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b/>
          <w:bCs/>
          <w:color w:val="auto"/>
          <w:kern w:val="0"/>
          <w:sz w:val="24"/>
          <w:szCs w:val="24"/>
          <w:highlight w:val="none"/>
          <w:u w:val="none"/>
          <w:lang w:val="en-US" w:eastAsia="zh-CN" w:bidi="ar-SA"/>
        </w:rPr>
        <w:t>产品技术证明材料说明：</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1.</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提供技术支持</w:t>
      </w:r>
      <w:r>
        <w:rPr>
          <w:rFonts w:hint="eastAsia" w:ascii="宋体" w:hAnsi="宋体" w:eastAsia="宋体" w:cs="宋体"/>
          <w:color w:val="auto"/>
          <w:kern w:val="0"/>
          <w:sz w:val="24"/>
          <w:szCs w:val="24"/>
          <w:highlight w:val="none"/>
          <w:u w:val="none"/>
          <w:lang w:val="en-US" w:eastAsia="zh-CN" w:bidi="ar-SA"/>
        </w:rPr>
        <w:t>材</w:t>
      </w:r>
      <w:r>
        <w:rPr>
          <w:rFonts w:hint="eastAsia" w:ascii="宋体" w:hAnsi="宋体" w:eastAsia="宋体" w:cs="宋体"/>
          <w:color w:val="auto"/>
          <w:kern w:val="0"/>
          <w:sz w:val="24"/>
          <w:szCs w:val="24"/>
          <w:highlight w:val="none"/>
          <w:u w:val="none"/>
          <w:lang w:bidi="ar-SA"/>
        </w:rPr>
        <w:t>料以证明其对技术指标的应答；</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2.技术支持资料应是制造商公开发布的印刷资料（</w:t>
      </w:r>
      <w:r>
        <w:rPr>
          <w:rFonts w:hint="eastAsia" w:ascii="宋体" w:hAnsi="宋体" w:cs="宋体"/>
          <w:color w:val="auto"/>
          <w:kern w:val="0"/>
          <w:sz w:val="24"/>
          <w:szCs w:val="24"/>
          <w:highlight w:val="none"/>
          <w:u w:val="none"/>
          <w:lang w:val="en-US" w:eastAsia="zh-CN" w:bidi="ar-SA"/>
        </w:rPr>
        <w:t>宣传</w:t>
      </w:r>
      <w:r>
        <w:rPr>
          <w:rFonts w:hint="eastAsia" w:ascii="宋体" w:hAnsi="宋体" w:eastAsia="宋体" w:cs="宋体"/>
          <w:color w:val="auto"/>
          <w:kern w:val="0"/>
          <w:sz w:val="24"/>
          <w:szCs w:val="24"/>
          <w:highlight w:val="none"/>
          <w:u w:val="none"/>
          <w:lang w:bidi="ar-SA"/>
        </w:rPr>
        <w:t>彩页</w:t>
      </w:r>
      <w:r>
        <w:rPr>
          <w:rFonts w:hint="eastAsia" w:ascii="宋体" w:hAnsi="宋体" w:cs="宋体"/>
          <w:color w:val="auto"/>
          <w:kern w:val="0"/>
          <w:sz w:val="24"/>
          <w:szCs w:val="24"/>
          <w:highlight w:val="none"/>
          <w:u w:val="none"/>
          <w:lang w:val="en-US" w:eastAsia="zh-CN" w:bidi="ar-SA"/>
        </w:rPr>
        <w:t>等</w:t>
      </w:r>
      <w:r>
        <w:rPr>
          <w:rFonts w:hint="eastAsia" w:ascii="宋体" w:hAnsi="宋体" w:eastAsia="宋体" w:cs="宋体"/>
          <w:color w:val="auto"/>
          <w:kern w:val="0"/>
          <w:sz w:val="24"/>
          <w:szCs w:val="24"/>
          <w:highlight w:val="none"/>
          <w:u w:val="none"/>
          <w:lang w:bidi="ar-SA"/>
        </w:rPr>
        <w:t>）或生产厂家官方网站截图</w:t>
      </w:r>
      <w:r>
        <w:rPr>
          <w:rFonts w:hint="eastAsia" w:ascii="宋体" w:hAnsi="宋体" w:eastAsia="宋体" w:cs="宋体"/>
          <w:color w:val="auto"/>
          <w:kern w:val="0"/>
          <w:sz w:val="24"/>
          <w:szCs w:val="24"/>
          <w:highlight w:val="none"/>
          <w:u w:val="none"/>
          <w:lang w:val="en-US" w:eastAsia="zh-CN" w:bidi="ar-SA"/>
        </w:rPr>
        <w:t>或</w:t>
      </w:r>
      <w:r>
        <w:rPr>
          <w:rFonts w:hint="eastAsia" w:ascii="宋体" w:hAnsi="宋体" w:eastAsia="宋体" w:cs="宋体"/>
          <w:color w:val="auto"/>
          <w:kern w:val="0"/>
          <w:sz w:val="24"/>
          <w:szCs w:val="24"/>
          <w:highlight w:val="none"/>
          <w:u w:val="none"/>
          <w:lang w:bidi="ar-SA"/>
        </w:rPr>
        <w:t>由有关政府部门或检测机构合法出具的文件或报告</w:t>
      </w:r>
      <w:r>
        <w:rPr>
          <w:rFonts w:hint="eastAsia" w:ascii="宋体" w:hAnsi="宋体" w:eastAsia="宋体" w:cs="宋体"/>
          <w:color w:val="auto"/>
          <w:kern w:val="0"/>
          <w:sz w:val="24"/>
          <w:szCs w:val="24"/>
          <w:highlight w:val="none"/>
          <w:u w:val="none"/>
          <w:lang w:val="en-US" w:eastAsia="zh-CN" w:bidi="ar-SA"/>
        </w:rPr>
        <w:t>或其他相关证明材料或承诺函</w:t>
      </w:r>
      <w:r>
        <w:rPr>
          <w:rFonts w:hint="eastAsia" w:ascii="宋体" w:hAnsi="宋体" w:eastAsia="宋体" w:cs="宋体"/>
          <w:color w:val="auto"/>
          <w:kern w:val="0"/>
          <w:sz w:val="24"/>
          <w:szCs w:val="24"/>
          <w:highlight w:val="none"/>
          <w:u w:val="none"/>
          <w:lang w:bidi="ar-SA"/>
        </w:rPr>
        <w:t>；</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3.不符合上述要求的资料，可被视为是无效的技术支持资料；</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4.如上述资料之间存在不一致的，以有关政府部门或检测机构合法出具的文件或报告为准；</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5.若对技术指标的应答无</w:t>
      </w:r>
      <w:r>
        <w:rPr>
          <w:rFonts w:hint="eastAsia" w:ascii="宋体" w:hAnsi="宋体" w:eastAsia="宋体" w:cs="宋体"/>
          <w:b w:val="0"/>
          <w:bCs w:val="0"/>
          <w:color w:val="auto"/>
          <w:kern w:val="0"/>
          <w:sz w:val="24"/>
          <w:szCs w:val="24"/>
          <w:highlight w:val="none"/>
          <w:u w:val="none"/>
          <w:lang w:val="en-US" w:eastAsia="zh-CN" w:bidi="ar-SA"/>
        </w:rPr>
        <w:t>技术证明材料</w:t>
      </w:r>
      <w:r>
        <w:rPr>
          <w:rFonts w:hint="eastAsia" w:ascii="宋体" w:hAnsi="宋体" w:eastAsia="宋体" w:cs="宋体"/>
          <w:color w:val="auto"/>
          <w:kern w:val="0"/>
          <w:sz w:val="24"/>
          <w:szCs w:val="24"/>
          <w:highlight w:val="none"/>
          <w:u w:val="none"/>
          <w:lang w:bidi="ar-SA"/>
        </w:rPr>
        <w:t>，</w:t>
      </w:r>
      <w:r>
        <w:rPr>
          <w:rFonts w:hint="eastAsia" w:ascii="宋体" w:hAnsi="宋体" w:eastAsia="宋体" w:cs="宋体"/>
          <w:color w:val="auto"/>
          <w:kern w:val="0"/>
          <w:sz w:val="24"/>
          <w:szCs w:val="24"/>
          <w:highlight w:val="none"/>
          <w:u w:val="none"/>
          <w:lang w:eastAsia="zh-CN" w:bidi="ar-SA"/>
        </w:rPr>
        <w:t>评审小组</w:t>
      </w:r>
      <w:r>
        <w:rPr>
          <w:rFonts w:hint="eastAsia" w:ascii="宋体" w:hAnsi="宋体" w:eastAsia="宋体" w:cs="宋体"/>
          <w:color w:val="auto"/>
          <w:kern w:val="0"/>
          <w:sz w:val="24"/>
          <w:szCs w:val="24"/>
          <w:highlight w:val="none"/>
          <w:u w:val="none"/>
          <w:lang w:bidi="ar-SA"/>
        </w:rPr>
        <w:t>可不予承认，并可认为该应答不符合</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要求，将作出不利于</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的技术评审，其后果将由</w:t>
      </w:r>
      <w:bookmarkStart w:id="5" w:name="OLE_LINK1"/>
      <w:r>
        <w:rPr>
          <w:rFonts w:hint="eastAsia" w:ascii="宋体" w:hAnsi="宋体" w:cs="宋体"/>
          <w:color w:val="auto"/>
          <w:kern w:val="0"/>
          <w:sz w:val="24"/>
          <w:szCs w:val="24"/>
          <w:highlight w:val="none"/>
          <w:u w:val="none"/>
          <w:lang w:val="en-US" w:eastAsia="zh-CN" w:bidi="ar-SA"/>
        </w:rPr>
        <w:t>响应</w:t>
      </w:r>
      <w:bookmarkEnd w:id="5"/>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自行承担；</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6.</w:t>
      </w:r>
      <w:r>
        <w:rPr>
          <w:rFonts w:hint="eastAsia" w:ascii="宋体" w:hAnsi="宋体" w:cs="宋体"/>
          <w:b w:val="0"/>
          <w:bCs w:val="0"/>
          <w:sz w:val="24"/>
          <w:szCs w:val="24"/>
          <w:lang w:val="en-US" w:eastAsia="zh-CN"/>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可提供同等于或优于</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要求的产品和服务。</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7.</w:t>
      </w:r>
      <w:r>
        <w:rPr>
          <w:rFonts w:hint="eastAsia" w:ascii="宋体" w:hAnsi="宋体" w:cs="宋体"/>
          <w:b w:val="0"/>
          <w:bCs w:val="0"/>
          <w:sz w:val="24"/>
          <w:szCs w:val="24"/>
          <w:lang w:val="en-US" w:eastAsia="zh-CN"/>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不得提供虚假材料（包括伪造、变造证书、合同等）谋取中标、成交。</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响应产品规格型号与官网公布的产品规格型号一致，但技术参数不一致的，应当在响应文件中阐述技术参数不一致的原因，以及通过何种技术路线来实现响应产品技术参数。</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各</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人必须认真阅读和理解</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中的每一个条款及要求，因误读</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而造成的后果，采购人概不负责。除</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中所明确的采购需求外，欢迎其他能满足本项目采购需求且性能相当于或高于所明确采购需求的产品参加</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报价。同时在采购需求偏离表中作出详细对比说明。</w:t>
      </w:r>
    </w:p>
    <w:p>
      <w:pPr>
        <w:pStyle w:val="2"/>
        <w:rPr>
          <w:rFonts w:hint="eastAsia"/>
        </w:rPr>
      </w:pPr>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GB" w:eastAsia="zh-CN" w:bidi="ar-SA"/>
        </w:rPr>
      </w:pPr>
      <w:r>
        <w:rPr>
          <w:rFonts w:hint="eastAsia" w:ascii="宋体" w:hAnsi="宋体" w:eastAsia="宋体" w:cs="宋体"/>
          <w:b/>
          <w:color w:val="auto"/>
          <w:kern w:val="0"/>
          <w:sz w:val="24"/>
          <w:szCs w:val="24"/>
          <w:highlight w:val="none"/>
          <w:lang w:val="en-US" w:eastAsia="zh-CN" w:bidi="ar-SA"/>
        </w:rPr>
        <w:t>1、</w:t>
      </w:r>
      <w:r>
        <w:rPr>
          <w:rFonts w:hint="eastAsia" w:ascii="宋体" w:hAnsi="宋体" w:eastAsia="宋体" w:cs="宋体"/>
          <w:b/>
          <w:color w:val="auto"/>
          <w:kern w:val="0"/>
          <w:sz w:val="24"/>
          <w:szCs w:val="24"/>
          <w:highlight w:val="none"/>
          <w:lang w:val="en-GB" w:eastAsia="zh-CN" w:bidi="ar-SA"/>
        </w:rPr>
        <w:t>设备清单</w:t>
      </w:r>
    </w:p>
    <w:tbl>
      <w:tblPr>
        <w:tblStyle w:val="16"/>
        <w:tblW w:w="8317" w:type="dxa"/>
        <w:tblInd w:w="0" w:type="dxa"/>
        <w:tblLayout w:type="fixed"/>
        <w:tblCellMar>
          <w:top w:w="0" w:type="dxa"/>
          <w:left w:w="0" w:type="dxa"/>
          <w:bottom w:w="0" w:type="dxa"/>
          <w:right w:w="0" w:type="dxa"/>
        </w:tblCellMar>
      </w:tblPr>
      <w:tblGrid>
        <w:gridCol w:w="987"/>
        <w:gridCol w:w="5225"/>
        <w:gridCol w:w="2105"/>
      </w:tblGrid>
      <w:tr>
        <w:trPr>
          <w:trHeight w:val="285" w:hRule="atLeast"/>
        </w:trPr>
        <w:tc>
          <w:tcPr>
            <w:tcW w:w="987"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序号</w:t>
            </w:r>
          </w:p>
        </w:tc>
        <w:tc>
          <w:tcPr>
            <w:tcW w:w="5225"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设备名称</w:t>
            </w:r>
          </w:p>
        </w:tc>
        <w:tc>
          <w:tcPr>
            <w:tcW w:w="2105"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数量</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lang w:val="en-US" w:eastAsia="zh-CN"/>
              </w:rPr>
              <w:t xml:space="preserve">Apple </w:t>
            </w:r>
            <w:r>
              <w:rPr>
                <w:rFonts w:hint="eastAsia"/>
              </w:rPr>
              <w:t>MacStudio</w:t>
            </w:r>
            <w:r>
              <w:rPr>
                <w:rFonts w:hint="eastAsia"/>
                <w:lang w:val="en-US" w:eastAsia="zh-CN"/>
              </w:rPr>
              <w:t>主机</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台</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Apple</w:t>
            </w:r>
            <w:r>
              <w:rPr>
                <w:rFonts w:hint="eastAsia" w:ascii="宋体" w:hAnsi="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Studio</w:t>
            </w:r>
            <w:r>
              <w:rPr>
                <w:rFonts w:hint="eastAsia" w:ascii="宋体" w:hAnsi="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Display</w:t>
            </w:r>
            <w:r>
              <w:rPr>
                <w:rFonts w:hint="eastAsia" w:ascii="宋体" w:hAnsi="宋体" w:cs="宋体"/>
                <w:color w:val="auto"/>
                <w:kern w:val="0"/>
                <w:sz w:val="24"/>
                <w:szCs w:val="24"/>
                <w:highlight w:val="none"/>
                <w:lang w:val="en-US" w:eastAsia="zh-CN" w:bidi="ar-SA"/>
              </w:rPr>
              <w:t>显示器</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台</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3</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苹果妙控键鼠套装(键盘</w:t>
            </w:r>
            <w:r>
              <w:rPr>
                <w:rFonts w:hint="eastAsia" w:ascii="宋体" w:hAnsi="宋体" w:eastAsia="宋体" w:cs="宋体"/>
                <w:color w:val="auto"/>
                <w:sz w:val="24"/>
                <w:szCs w:val="24"/>
                <w:highlight w:val="none"/>
                <w:u w:val="none"/>
                <w:lang w:val="en-US" w:eastAsia="zh-CN" w:bidi="ar-SA"/>
              </w:rPr>
              <w:t>带有触控ID</w:t>
            </w:r>
            <w:r>
              <w:rPr>
                <w:rFonts w:hint="eastAsia" w:ascii="宋体" w:hAnsi="宋体" w:cs="宋体"/>
                <w:color w:val="auto"/>
                <w:kern w:val="0"/>
                <w:sz w:val="24"/>
                <w:szCs w:val="24"/>
                <w:highlight w:val="none"/>
                <w:lang w:val="en-US" w:eastAsia="zh-CN" w:bidi="ar-SA"/>
              </w:rPr>
              <w:t>)</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3套</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4</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Apple Macbook Air笔记本</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2台</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5</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荣耀H9 U9笔记本</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default" w:ascii="宋体" w:hAnsi="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1台</w:t>
            </w:r>
          </w:p>
        </w:tc>
      </w:tr>
    </w:tbl>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b/>
          <w:color w:val="auto"/>
          <w:kern w:val="0"/>
          <w:sz w:val="24"/>
          <w:szCs w:val="24"/>
          <w:highlight w:val="none"/>
          <w:lang w:val="en-US" w:eastAsia="zh-CN" w:bidi="ar-SA"/>
        </w:rPr>
        <w:t>2、详细参数要求</w:t>
      </w:r>
    </w:p>
    <w:p>
      <w:pPr>
        <w:spacing w:after="0" w:line="240" w:lineRule="auto"/>
        <w:jc w:val="both"/>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sz w:val="24"/>
          <w:szCs w:val="24"/>
          <w:highlight w:val="none"/>
          <w:lang w:val="en-US" w:eastAsia="zh-CN" w:bidi="ar-SA"/>
        </w:rPr>
        <w:t>1</w:t>
      </w:r>
      <w:r>
        <w:rPr>
          <w:rFonts w:hint="eastAsia" w:ascii="宋体" w:hAnsi="宋体" w:eastAsia="宋体" w:cs="宋体"/>
          <w:color w:val="auto"/>
          <w:sz w:val="24"/>
          <w:szCs w:val="24"/>
          <w:highlight w:val="none"/>
          <w:lang w:eastAsia="zh-CN" w:bidi="ar-SA"/>
        </w:rPr>
        <w:t>）</w:t>
      </w:r>
      <w:r>
        <w:rPr>
          <w:rFonts w:hint="eastAsia"/>
          <w:lang w:val="en-US" w:eastAsia="zh-CN"/>
        </w:rPr>
        <w:t xml:space="preserve">Apple </w:t>
      </w:r>
      <w:r>
        <w:rPr>
          <w:rFonts w:hint="eastAsia"/>
        </w:rPr>
        <w:t>MacStudio</w:t>
      </w:r>
      <w:r>
        <w:rPr>
          <w:rFonts w:hint="eastAsia"/>
          <w:lang w:val="en-US" w:eastAsia="zh-CN"/>
        </w:rPr>
        <w:t>主机</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
        <w:gridCol w:w="803"/>
        <w:gridCol w:w="1999"/>
        <w:gridCol w:w="3836"/>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lang w:val="en-US" w:eastAsia="zh-CN"/>
              </w:rPr>
              <w:t>主机</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3</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序号</w:t>
            </w:r>
          </w:p>
        </w:tc>
        <w:tc>
          <w:tcPr>
            <w:tcW w:w="80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99"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品项</w:t>
            </w:r>
          </w:p>
        </w:tc>
        <w:tc>
          <w:tcPr>
            <w:tcW w:w="3836"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sz w:val="24"/>
                <w:szCs w:val="24"/>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val="en-US" w:eastAsia="zh-CN" w:bidi="ar-SA"/>
              </w:rPr>
              <w:t>1</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处理器</w:t>
            </w:r>
          </w:p>
        </w:tc>
        <w:tc>
          <w:tcPr>
            <w:tcW w:w="3836" w:type="dxa"/>
            <w:noWrap w:val="0"/>
            <w:vAlign w:val="center"/>
          </w:tcPr>
          <w:p>
            <w:pPr>
              <w:spacing w:after="0" w:line="240" w:lineRule="auto"/>
              <w:jc w:val="both"/>
              <w:outlineLvl w:val="9"/>
              <w:rPr>
                <w:rFonts w:hint="eastAsia"/>
              </w:rPr>
            </w:pPr>
            <w:r>
              <w:rPr>
                <w:rFonts w:hint="eastAsia" w:ascii="宋体" w:hAnsi="宋体" w:eastAsia="宋体" w:cs="宋体"/>
                <w:color w:val="auto"/>
                <w:sz w:val="24"/>
                <w:szCs w:val="24"/>
                <w:highlight w:val="none"/>
                <w:u w:val="none"/>
                <w:lang w:bidi="ar-SA"/>
              </w:rPr>
              <w:t>Apple M5</w:t>
            </w:r>
            <w:r>
              <w:rPr>
                <w:rFonts w:hint="eastAsia" w:ascii="宋体" w:hAnsi="宋体" w:cs="宋体"/>
                <w:color w:val="auto"/>
                <w:sz w:val="24"/>
                <w:szCs w:val="24"/>
                <w:highlight w:val="none"/>
                <w:u w:val="none"/>
                <w:lang w:val="en-US" w:eastAsia="zh-CN" w:bidi="ar-SA"/>
              </w:rPr>
              <w:t xml:space="preserve"> </w:t>
            </w:r>
            <w:r>
              <w:rPr>
                <w:rFonts w:hint="eastAsia" w:ascii="宋体" w:hAnsi="宋体" w:eastAsia="宋体" w:cs="宋体"/>
                <w:color w:val="auto"/>
                <w:sz w:val="24"/>
                <w:szCs w:val="24"/>
                <w:highlight w:val="none"/>
                <w:u w:val="none"/>
                <w:lang w:bidi="ar-SA"/>
              </w:rPr>
              <w:t>Max 芯片 (18核中央处理器</w:t>
            </w:r>
            <w:r>
              <w:rPr>
                <w:rFonts w:hint="eastAsia" w:ascii="宋体" w:hAnsi="宋体" w:cs="宋体"/>
                <w:color w:val="auto"/>
                <w:sz w:val="24"/>
                <w:szCs w:val="24"/>
                <w:highlight w:val="none"/>
                <w:u w:val="none"/>
                <w:lang w:eastAsia="zh-CN" w:bidi="ar-SA"/>
              </w:rPr>
              <w:t>，</w:t>
            </w:r>
            <w:r>
              <w:rPr>
                <w:rFonts w:hint="eastAsia" w:ascii="宋体" w:hAnsi="宋体" w:eastAsia="宋体" w:cs="宋体"/>
                <w:color w:val="auto"/>
                <w:sz w:val="24"/>
                <w:szCs w:val="24"/>
                <w:highlight w:val="none"/>
                <w:u w:val="none"/>
                <w:lang w:bidi="ar-SA"/>
              </w:rPr>
              <w:t>32核图形处理器)</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2</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内存</w:t>
            </w:r>
          </w:p>
        </w:tc>
        <w:tc>
          <w:tcPr>
            <w:tcW w:w="3836" w:type="dxa"/>
            <w:noWrap w:val="0"/>
            <w:vAlign w:val="center"/>
          </w:tcPr>
          <w:p>
            <w:pPr>
              <w:spacing w:after="0" w:line="240" w:lineRule="auto"/>
              <w:jc w:val="both"/>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w:t>
            </w:r>
            <w:r>
              <w:rPr>
                <w:rFonts w:hint="eastAsia" w:ascii="宋体" w:hAnsi="宋体" w:cs="宋体"/>
                <w:color w:val="auto"/>
                <w:sz w:val="24"/>
                <w:szCs w:val="24"/>
                <w:highlight w:val="none"/>
                <w:u w:val="none"/>
                <w:lang w:val="en-US" w:eastAsia="zh-CN" w:bidi="ar-SA"/>
              </w:rPr>
              <w:t>36</w:t>
            </w:r>
            <w:r>
              <w:rPr>
                <w:rFonts w:hint="eastAsia" w:ascii="宋体" w:hAnsi="宋体" w:eastAsia="宋体" w:cs="宋体"/>
                <w:color w:val="auto"/>
                <w:sz w:val="24"/>
                <w:szCs w:val="24"/>
                <w:highlight w:val="none"/>
                <w:u w:val="none"/>
                <w:lang w:bidi="ar-SA"/>
              </w:rPr>
              <w:t xml:space="preserve">G </w:t>
            </w:r>
            <w:r>
              <w:rPr>
                <w:rFonts w:hint="eastAsia" w:ascii="宋体" w:hAnsi="宋体" w:cs="宋体"/>
                <w:color w:val="auto"/>
                <w:sz w:val="24"/>
                <w:szCs w:val="24"/>
                <w:highlight w:val="none"/>
                <w:u w:val="none"/>
                <w:lang w:val="en-US" w:eastAsia="zh-CN" w:bidi="ar-SA"/>
              </w:rPr>
              <w:t>统一内存</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3</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val="en-US" w:eastAsia="zh-CN" w:bidi="ar-SA"/>
              </w:rPr>
              <w:t>固态</w:t>
            </w:r>
            <w:r>
              <w:rPr>
                <w:rFonts w:hint="eastAsia" w:ascii="宋体" w:hAnsi="宋体" w:eastAsia="宋体" w:cs="宋体"/>
                <w:color w:val="auto"/>
                <w:sz w:val="24"/>
                <w:szCs w:val="24"/>
                <w:highlight w:val="none"/>
                <w:u w:val="none"/>
                <w:lang w:bidi="ar-SA"/>
              </w:rPr>
              <w:t>硬盘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w:t>
            </w:r>
            <w:r>
              <w:rPr>
                <w:rFonts w:hint="eastAsia" w:ascii="宋体" w:hAnsi="宋体" w:cs="宋体"/>
                <w:color w:val="auto"/>
                <w:sz w:val="24"/>
                <w:szCs w:val="24"/>
                <w:highlight w:val="none"/>
                <w:u w:val="none"/>
                <w:lang w:val="en-US" w:eastAsia="zh-CN" w:bidi="ar-SA"/>
              </w:rPr>
              <w:t>1T</w:t>
            </w:r>
            <w:r>
              <w:rPr>
                <w:rFonts w:hint="eastAsia" w:ascii="宋体" w:hAnsi="宋体" w:eastAsia="宋体" w:cs="宋体"/>
                <w:color w:val="auto"/>
                <w:sz w:val="24"/>
                <w:szCs w:val="24"/>
                <w:highlight w:val="none"/>
                <w:u w:val="none"/>
                <w:lang w:bidi="ar-SA"/>
              </w:rPr>
              <w:t xml:space="preserve"> SSD</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2"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4</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质保</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苹果官方保</w:t>
            </w:r>
            <w:r>
              <w:rPr>
                <w:rFonts w:hint="eastAsia" w:ascii="宋体" w:hAnsi="宋体" w:eastAsia="宋体" w:cs="宋体"/>
                <w:color w:val="auto"/>
                <w:sz w:val="24"/>
                <w:szCs w:val="24"/>
                <w:highlight w:val="none"/>
                <w:u w:val="none"/>
                <w:lang w:bidi="ar-SA"/>
              </w:rPr>
              <w:t>修</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bl>
    <w:p>
      <w:pPr>
        <w:spacing w:after="0" w:line="240" w:lineRule="auto"/>
        <w:outlineLvl w:val="9"/>
        <w:rPr>
          <w:rFonts w:hint="eastAsia" w:ascii="宋体" w:hAnsi="宋体" w:eastAsia="宋体" w:cs="宋体"/>
          <w:color w:val="auto"/>
          <w:kern w:val="0"/>
          <w:sz w:val="24"/>
          <w:szCs w:val="24"/>
          <w:highlight w:val="none"/>
          <w:lang w:val="en-US" w:eastAsia="zh-CN" w:bidi="ar-SA"/>
        </w:rPr>
      </w:pPr>
    </w:p>
    <w:p>
      <w:pPr>
        <w:spacing w:after="0" w:line="240" w:lineRule="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（2）Apple</w:t>
      </w:r>
      <w:r>
        <w:rPr>
          <w:rFonts w:hint="eastAsia" w:ascii="宋体" w:hAnsi="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Studio</w:t>
      </w:r>
      <w:r>
        <w:rPr>
          <w:rFonts w:hint="eastAsia" w:ascii="宋体" w:hAnsi="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Display</w:t>
      </w:r>
      <w:r>
        <w:rPr>
          <w:rFonts w:hint="eastAsia" w:ascii="宋体" w:hAnsi="宋体" w:cs="宋体"/>
          <w:color w:val="auto"/>
          <w:kern w:val="0"/>
          <w:sz w:val="24"/>
          <w:szCs w:val="24"/>
          <w:highlight w:val="none"/>
          <w:lang w:val="en-US" w:eastAsia="zh-CN" w:bidi="ar-SA"/>
        </w:rPr>
        <w:t>显示器</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801"/>
        <w:gridCol w:w="1963"/>
        <w:gridCol w:w="3833"/>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显示器</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3</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shd w:val="clear" w:color="auto" w:fill="D7D7D7"/>
            <w:noWrap w:val="0"/>
            <w:vAlign w:val="top"/>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801"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6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品项</w:t>
            </w:r>
          </w:p>
        </w:tc>
        <w:tc>
          <w:tcPr>
            <w:tcW w:w="383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尺寸</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27寸</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分辨率</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≥5120 x 2880</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3</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刷新率</w:t>
            </w:r>
          </w:p>
        </w:tc>
        <w:tc>
          <w:tcPr>
            <w:tcW w:w="3833" w:type="dxa"/>
            <w:noWrap w:val="0"/>
            <w:vAlign w:val="center"/>
          </w:tcPr>
          <w:p>
            <w:pPr>
              <w:spacing w:after="0" w:line="240" w:lineRule="auto"/>
              <w:jc w:val="both"/>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60</w:t>
            </w:r>
            <w:r>
              <w:rPr>
                <w:rFonts w:hint="eastAsia" w:ascii="宋体" w:hAnsi="宋体" w:eastAsia="宋体" w:cs="宋体"/>
                <w:i w:val="0"/>
                <w:iCs w:val="0"/>
                <w:color w:val="000000"/>
                <w:kern w:val="0"/>
                <w:sz w:val="24"/>
                <w:szCs w:val="24"/>
                <w:u w:val="none"/>
                <w:lang w:val="en-US" w:eastAsia="zh-CN" w:bidi="ar"/>
              </w:rPr>
              <w:t>Hz</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4</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摄像头</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1200 万像素</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5</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质保</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苹果官方保修</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bl>
    <w:p>
      <w:pPr>
        <w:spacing w:after="0" w:line="240" w:lineRule="auto"/>
        <w:outlineLvl w:val="9"/>
        <w:rPr>
          <w:rFonts w:hint="eastAsia" w:ascii="宋体" w:hAnsi="宋体" w:eastAsia="宋体" w:cs="宋体"/>
          <w:color w:val="auto"/>
          <w:kern w:val="0"/>
          <w:sz w:val="24"/>
          <w:szCs w:val="24"/>
          <w:highlight w:val="none"/>
          <w:lang w:val="en-US" w:eastAsia="zh-CN" w:bidi="ar-SA"/>
        </w:rPr>
      </w:pPr>
    </w:p>
    <w:p>
      <w:pPr>
        <w:spacing w:after="0" w:line="240" w:lineRule="auto"/>
        <w:outlineLvl w:val="9"/>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苹果妙控键鼠套</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801"/>
        <w:gridCol w:w="1963"/>
        <w:gridCol w:w="3833"/>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显示器</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3</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shd w:val="clear" w:color="auto" w:fill="D7D7D7"/>
            <w:noWrap w:val="0"/>
            <w:vAlign w:val="top"/>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801"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6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品项</w:t>
            </w:r>
          </w:p>
        </w:tc>
        <w:tc>
          <w:tcPr>
            <w:tcW w:w="383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妙控鼠标</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多点触控表面</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妙控键盘</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u w:val="none"/>
                <w:lang w:val="en-US" w:eastAsia="zh-CN" w:bidi="ar-SA"/>
              </w:rPr>
              <w:t>带有触控 ID 和数字小键盘</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3</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质保</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苹果官方保修</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bl>
    <w:p>
      <w:pPr>
        <w:spacing w:after="0" w:line="240" w:lineRule="auto"/>
        <w:outlineLvl w:val="9"/>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en-US" w:eastAsia="zh-CN" w:bidi="ar-SA"/>
        </w:rPr>
        <w:t>）Apple</w:t>
      </w:r>
      <w:r>
        <w:rPr>
          <w:rFonts w:hint="eastAsia" w:ascii="宋体" w:hAnsi="宋体"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Macbook Air</w:t>
      </w:r>
      <w:r>
        <w:rPr>
          <w:rFonts w:hint="eastAsia" w:ascii="宋体" w:hAnsi="宋体" w:cs="宋体"/>
          <w:color w:val="auto"/>
          <w:kern w:val="0"/>
          <w:sz w:val="24"/>
          <w:szCs w:val="24"/>
          <w:highlight w:val="none"/>
          <w:lang w:val="en-US" w:eastAsia="zh-CN" w:bidi="ar-SA"/>
        </w:rPr>
        <w:t>笔记本</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801"/>
        <w:gridCol w:w="1963"/>
        <w:gridCol w:w="3833"/>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笔记本</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2</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shd w:val="clear" w:color="auto" w:fill="D7D7D7"/>
            <w:noWrap w:val="0"/>
            <w:vAlign w:val="top"/>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801"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6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品项</w:t>
            </w:r>
          </w:p>
        </w:tc>
        <w:tc>
          <w:tcPr>
            <w:tcW w:w="383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尺寸</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15.3 英寸</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2</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处理器</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u w:val="none"/>
                <w:lang w:bidi="ar-SA"/>
              </w:rPr>
              <w:t>Apple M5 芯片 (10 核中央处理器、10 核图形处理器、16 核神经网络引擎)</w:t>
            </w:r>
          </w:p>
        </w:tc>
        <w:tc>
          <w:tcPr>
            <w:tcW w:w="1200" w:type="dxa"/>
            <w:noWrap w:val="0"/>
            <w:vAlign w:val="center"/>
          </w:tcPr>
          <w:p>
            <w:pPr>
              <w:spacing w:after="0" w:line="240" w:lineRule="auto"/>
              <w:jc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3</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内存</w:t>
            </w:r>
          </w:p>
        </w:tc>
        <w:tc>
          <w:tcPr>
            <w:tcW w:w="3833" w:type="dxa"/>
            <w:noWrap w:val="0"/>
            <w:vAlign w:val="center"/>
          </w:tcPr>
          <w:p>
            <w:pPr>
              <w:spacing w:after="0" w:line="240" w:lineRule="auto"/>
              <w:jc w:val="both"/>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w:t>
            </w:r>
            <w:r>
              <w:rPr>
                <w:rFonts w:hint="eastAsia" w:ascii="宋体" w:hAnsi="宋体" w:cs="宋体"/>
                <w:color w:val="auto"/>
                <w:sz w:val="24"/>
                <w:szCs w:val="24"/>
                <w:highlight w:val="none"/>
                <w:u w:val="none"/>
                <w:lang w:val="en-US" w:eastAsia="zh-CN" w:bidi="ar-SA"/>
              </w:rPr>
              <w:t>32</w:t>
            </w:r>
            <w:r>
              <w:rPr>
                <w:rFonts w:hint="eastAsia" w:ascii="宋体" w:hAnsi="宋体" w:eastAsia="宋体" w:cs="宋体"/>
                <w:color w:val="auto"/>
                <w:sz w:val="24"/>
                <w:szCs w:val="24"/>
                <w:highlight w:val="none"/>
                <w:u w:val="none"/>
                <w:lang w:bidi="ar-SA"/>
              </w:rPr>
              <w:t xml:space="preserve">G </w:t>
            </w:r>
            <w:r>
              <w:rPr>
                <w:rFonts w:hint="eastAsia" w:ascii="宋体" w:hAnsi="宋体" w:cs="宋体"/>
                <w:color w:val="auto"/>
                <w:sz w:val="24"/>
                <w:szCs w:val="24"/>
                <w:highlight w:val="none"/>
                <w:u w:val="none"/>
                <w:lang w:val="en-US" w:eastAsia="zh-CN" w:bidi="ar-SA"/>
              </w:rPr>
              <w:t>统一内存</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4</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固态</w:t>
            </w:r>
            <w:r>
              <w:rPr>
                <w:rFonts w:hint="eastAsia" w:ascii="宋体" w:hAnsi="宋体" w:eastAsia="宋体" w:cs="宋体"/>
                <w:color w:val="auto"/>
                <w:sz w:val="24"/>
                <w:szCs w:val="24"/>
                <w:highlight w:val="none"/>
                <w:u w:val="none"/>
                <w:lang w:bidi="ar-SA"/>
              </w:rPr>
              <w:t>硬盘</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w:t>
            </w:r>
            <w:r>
              <w:rPr>
                <w:rFonts w:hint="eastAsia" w:ascii="宋体" w:hAnsi="宋体" w:cs="宋体"/>
                <w:color w:val="auto"/>
                <w:sz w:val="24"/>
                <w:szCs w:val="24"/>
                <w:highlight w:val="none"/>
                <w:u w:val="none"/>
                <w:lang w:val="en-US" w:eastAsia="zh-CN" w:bidi="ar-SA"/>
              </w:rPr>
              <w:t>1T</w:t>
            </w:r>
            <w:r>
              <w:rPr>
                <w:rFonts w:hint="eastAsia" w:ascii="宋体" w:hAnsi="宋体" w:eastAsia="宋体" w:cs="宋体"/>
                <w:color w:val="auto"/>
                <w:sz w:val="24"/>
                <w:szCs w:val="24"/>
                <w:highlight w:val="none"/>
                <w:u w:val="none"/>
                <w:lang w:bidi="ar-SA"/>
              </w:rPr>
              <w:t xml:space="preserve"> SSD</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atLeast"/>
        </w:trPr>
        <w:tc>
          <w:tcPr>
            <w:tcW w:w="498" w:type="dxa"/>
            <w:noWrap w:val="0"/>
            <w:vAlign w:val="center"/>
          </w:tcPr>
          <w:p>
            <w:pPr>
              <w:spacing w:after="0" w:line="240" w:lineRule="auto"/>
              <w:jc w:val="center"/>
              <w:outlineLvl w:val="9"/>
              <w:rPr>
                <w:rFonts w:hint="default" w:ascii="宋体" w:hAnsi="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5</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显示屏</w:t>
            </w:r>
            <w:r>
              <w:rPr>
                <w:rFonts w:hint="eastAsia" w:ascii="宋体" w:hAnsi="宋体" w:cs="宋体"/>
                <w:color w:val="auto"/>
                <w:sz w:val="24"/>
                <w:szCs w:val="24"/>
                <w:highlight w:val="none"/>
                <w:u w:val="none"/>
                <w:lang w:val="en-US" w:eastAsia="zh-CN" w:bidi="ar-SA"/>
              </w:rPr>
              <w:t>分辨率</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≥2880 x 1864</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6</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质保</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苹果官方保</w:t>
            </w:r>
            <w:r>
              <w:rPr>
                <w:rFonts w:hint="eastAsia" w:ascii="宋体" w:hAnsi="宋体" w:eastAsia="宋体" w:cs="宋体"/>
                <w:color w:val="auto"/>
                <w:sz w:val="24"/>
                <w:szCs w:val="24"/>
                <w:highlight w:val="none"/>
                <w:u w:val="none"/>
                <w:lang w:bidi="ar-SA"/>
              </w:rPr>
              <w:t>修</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p>
    <w:p>
      <w:pPr>
        <w:spacing w:after="0" w:line="240" w:lineRule="auto"/>
        <w:outlineLvl w:val="9"/>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荣耀H9系统笔记本</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801"/>
        <w:gridCol w:w="1963"/>
        <w:gridCol w:w="3833"/>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笔记本</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1</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shd w:val="clear" w:color="auto" w:fill="D7D7D7"/>
            <w:noWrap w:val="0"/>
            <w:vAlign w:val="top"/>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801"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6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品项</w:t>
            </w:r>
          </w:p>
        </w:tc>
        <w:tc>
          <w:tcPr>
            <w:tcW w:w="383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屏幕</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屏幕 16英寸 分辨率2560*1600 亮度≥500nit</w:t>
            </w:r>
          </w:p>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最大刷新率≥300hz   色域≥100%DCI-P3</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2</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处理器</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u w:val="none"/>
                <w:lang w:bidi="ar-SA"/>
              </w:rPr>
              <w:t>英特尔酷睿Ultra 9 Processor 290HX Plus</w:t>
            </w:r>
            <w:r>
              <w:rPr>
                <w:rFonts w:hint="eastAsia" w:ascii="宋体" w:hAnsi="宋体" w:cs="宋体"/>
                <w:color w:val="auto"/>
                <w:sz w:val="24"/>
                <w:szCs w:val="24"/>
                <w:highlight w:val="none"/>
                <w:u w:val="none"/>
                <w:lang w:eastAsia="zh-CN" w:bidi="ar-SA"/>
              </w:rPr>
              <w:t>，</w:t>
            </w:r>
            <w:r>
              <w:rPr>
                <w:rFonts w:hint="eastAsia" w:ascii="宋体" w:hAnsi="宋体" w:eastAsia="宋体" w:cs="宋体"/>
                <w:color w:val="auto"/>
                <w:sz w:val="24"/>
                <w:szCs w:val="24"/>
                <w:highlight w:val="none"/>
                <w:u w:val="none"/>
                <w:lang w:bidi="ar-SA"/>
              </w:rPr>
              <w:t>核芯数≥24核</w:t>
            </w:r>
          </w:p>
        </w:tc>
        <w:tc>
          <w:tcPr>
            <w:tcW w:w="1200" w:type="dxa"/>
            <w:noWrap w:val="0"/>
            <w:vAlign w:val="center"/>
          </w:tcPr>
          <w:p>
            <w:pPr>
              <w:spacing w:after="0" w:line="240" w:lineRule="auto"/>
              <w:jc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3</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内存</w:t>
            </w:r>
          </w:p>
        </w:tc>
        <w:tc>
          <w:tcPr>
            <w:tcW w:w="3833" w:type="dxa"/>
            <w:noWrap w:val="0"/>
            <w:vAlign w:val="center"/>
          </w:tcPr>
          <w:p>
            <w:pPr>
              <w:spacing w:after="0" w:line="240" w:lineRule="auto"/>
              <w:jc w:val="both"/>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≥16GB*2 DDR5 6400 MT/s</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4</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固态</w:t>
            </w:r>
            <w:r>
              <w:rPr>
                <w:rFonts w:hint="eastAsia" w:ascii="宋体" w:hAnsi="宋体" w:eastAsia="宋体" w:cs="宋体"/>
                <w:color w:val="auto"/>
                <w:sz w:val="24"/>
                <w:szCs w:val="24"/>
                <w:highlight w:val="none"/>
                <w:u w:val="none"/>
                <w:lang w:bidi="ar-SA"/>
              </w:rPr>
              <w:t>硬盘</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≥1TB SSD (M.2接口NVMe协议、≥PCIe4.0)</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5</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独立显卡</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≥NVIDIA RTX 5070 Ti 12GB DDR7 192bit</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6</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default" w:ascii="宋体" w:hAnsi="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操作系统</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正版windows11</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u w:val="none"/>
                <w:lang w:val="en-US" w:eastAsia="zh-CN" w:bidi="ar-SA"/>
              </w:rPr>
              <w:t>7</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质保</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荣耀官方保</w:t>
            </w:r>
            <w:r>
              <w:rPr>
                <w:rFonts w:hint="eastAsia" w:ascii="宋体" w:hAnsi="宋体" w:eastAsia="宋体" w:cs="宋体"/>
                <w:color w:val="auto"/>
                <w:sz w:val="24"/>
                <w:szCs w:val="24"/>
                <w:highlight w:val="none"/>
                <w:u w:val="none"/>
                <w:lang w:bidi="ar-SA"/>
              </w:rPr>
              <w:t>修</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bl>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三、商务要求</w:t>
      </w:r>
    </w:p>
    <w:p>
      <w:pPr>
        <w:keepNext w:val="0"/>
        <w:keepLines w:val="0"/>
        <w:pageBreakBefore w:val="0"/>
        <w:widowControl w:val="0"/>
        <w:kinsoku/>
        <w:wordWrap/>
        <w:overflowPunct/>
        <w:topLinePunct w:val="0"/>
        <w:autoSpaceDE/>
        <w:autoSpaceDN/>
        <w:bidi w:val="0"/>
        <w:adjustRightInd/>
        <w:snapToGrid/>
        <w:spacing w:after="0" w:line="240" w:lineRule="auto"/>
        <w:ind w:firstLine="482" w:firstLineChars="200"/>
        <w:jc w:val="left"/>
        <w:textAlignment w:val="auto"/>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0"/>
          <w:sz w:val="24"/>
          <w:szCs w:val="24"/>
          <w:highlight w:val="none"/>
          <w:u w:val="none"/>
          <w:lang w:bidi="ar-SA"/>
        </w:rPr>
        <w:t>注：标“</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”为响应的实质性要求和条件，必须作出实质性响应，否则</w:t>
      </w:r>
      <w:r>
        <w:rPr>
          <w:rFonts w:hint="eastAsia" w:ascii="宋体" w:hAnsi="宋体" w:eastAsia="宋体" w:cs="宋体"/>
          <w:b/>
          <w:bCs/>
          <w:color w:val="auto"/>
          <w:kern w:val="0"/>
          <w:sz w:val="24"/>
          <w:szCs w:val="24"/>
          <w:highlight w:val="none"/>
          <w:u w:val="none"/>
          <w:lang w:val="en-US" w:eastAsia="zh-CN" w:bidi="ar-SA"/>
        </w:rPr>
        <w:t>响应</w:t>
      </w:r>
      <w:r>
        <w:rPr>
          <w:rFonts w:hint="eastAsia" w:ascii="宋体" w:hAnsi="宋体" w:eastAsia="宋体" w:cs="宋体"/>
          <w:b/>
          <w:bCs/>
          <w:color w:val="auto"/>
          <w:kern w:val="0"/>
          <w:sz w:val="24"/>
          <w:szCs w:val="24"/>
          <w:highlight w:val="none"/>
          <w:u w:val="none"/>
          <w:lang w:bidi="ar-SA"/>
        </w:rPr>
        <w:t>无效。</w:t>
      </w:r>
      <w:r>
        <w:rPr>
          <w:rFonts w:hint="eastAsia" w:ascii="宋体" w:hAnsi="宋体" w:eastAsia="宋体" w:cs="宋体"/>
          <w:b/>
          <w:bCs/>
          <w:color w:val="auto"/>
          <w:sz w:val="24"/>
          <w:szCs w:val="24"/>
          <w:highlight w:val="none"/>
          <w:lang w:bidi="ar-SA"/>
        </w:rPr>
        <w:t>（技术要求里另有注明的以技术要求为准）</w:t>
      </w:r>
    </w:p>
    <w:tbl>
      <w:tblPr>
        <w:tblStyle w:val="16"/>
        <w:tblW w:w="8296"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6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合同金额结算及支付方式</w:t>
            </w:r>
          </w:p>
        </w:tc>
        <w:tc>
          <w:tcPr>
            <w:tcW w:w="6925" w:type="dxa"/>
            <w:noWrap w:val="0"/>
            <w:vAlign w:val="center"/>
          </w:tcPr>
          <w:p>
            <w:pPr>
              <w:widowControl/>
              <w:spacing w:after="0" w:line="240" w:lineRule="auto"/>
              <w:jc w:val="left"/>
              <w:outlineLvl w:val="9"/>
              <w:rPr>
                <w:rFonts w:hint="eastAsia" w:ascii="宋体" w:hAnsi="宋体" w:cs="宋体"/>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eastAsia="zh-CN" w:bidi="ar-SA"/>
              </w:rPr>
              <w:t>①</w:t>
            </w:r>
            <w:r>
              <w:rPr>
                <w:rFonts w:hint="eastAsia" w:ascii="宋体" w:hAnsi="宋体" w:eastAsia="宋体" w:cs="宋体"/>
                <w:color w:val="auto"/>
                <w:kern w:val="0"/>
                <w:sz w:val="24"/>
                <w:szCs w:val="24"/>
                <w:highlight w:val="none"/>
                <w:u w:val="none"/>
                <w:lang w:bidi="ar-SA"/>
              </w:rPr>
              <w:t>合同签订后，乙方提供等额增值税专用发票后的10个工作日内甲方支付本合同金额的50%；</w:t>
            </w:r>
            <w:r>
              <w:rPr>
                <w:rFonts w:hint="eastAsia" w:ascii="宋体" w:hAnsi="宋体" w:eastAsia="宋体" w:cs="宋体"/>
                <w:color w:val="auto"/>
                <w:kern w:val="0"/>
                <w:sz w:val="24"/>
                <w:szCs w:val="24"/>
                <w:highlight w:val="none"/>
                <w:u w:val="none"/>
                <w:lang w:bidi="ar-SA"/>
              </w:rPr>
              <w:br w:type="textWrapping"/>
            </w:r>
            <w:r>
              <w:rPr>
                <w:rFonts w:hint="eastAsia" w:ascii="宋体" w:hAnsi="宋体" w:cs="宋体"/>
                <w:color w:val="auto"/>
                <w:kern w:val="0"/>
                <w:sz w:val="24"/>
                <w:szCs w:val="24"/>
                <w:highlight w:val="none"/>
                <w:u w:val="none"/>
                <w:lang w:eastAsia="zh-CN" w:bidi="ar-SA"/>
              </w:rPr>
              <w:t>②</w:t>
            </w:r>
            <w:r>
              <w:rPr>
                <w:rFonts w:hint="eastAsia" w:ascii="宋体" w:hAnsi="宋体" w:eastAsia="宋体" w:cs="宋体"/>
                <w:color w:val="auto"/>
                <w:kern w:val="0"/>
                <w:sz w:val="24"/>
                <w:szCs w:val="24"/>
                <w:highlight w:val="none"/>
                <w:u w:val="none"/>
                <w:lang w:bidi="ar-SA"/>
              </w:rPr>
              <w:t>乙方完成全部货物交付等服务，甲方验收合格</w:t>
            </w:r>
            <w:r>
              <w:rPr>
                <w:rFonts w:hint="eastAsia" w:ascii="宋体" w:hAnsi="宋体" w:cs="宋体"/>
                <w:color w:val="auto"/>
                <w:kern w:val="0"/>
                <w:sz w:val="24"/>
                <w:szCs w:val="24"/>
                <w:highlight w:val="none"/>
                <w:u w:val="none"/>
                <w:lang w:val="en-US" w:eastAsia="zh-CN" w:bidi="ar-SA"/>
              </w:rPr>
              <w:t>后，</w:t>
            </w:r>
            <w:r>
              <w:rPr>
                <w:rFonts w:hint="eastAsia" w:ascii="宋体" w:hAnsi="宋体" w:eastAsia="宋体" w:cs="宋体"/>
                <w:color w:val="auto"/>
                <w:kern w:val="0"/>
                <w:sz w:val="24"/>
                <w:szCs w:val="24"/>
                <w:highlight w:val="none"/>
                <w:u w:val="none"/>
                <w:lang w:bidi="ar-SA"/>
              </w:rPr>
              <w:t>乙方提供等额增值税专用发票后的10个工作日内甲方支付本合同金额的</w:t>
            </w:r>
            <w:r>
              <w:rPr>
                <w:rFonts w:hint="eastAsia" w:ascii="宋体" w:hAnsi="宋体" w:eastAsia="宋体" w:cs="宋体"/>
                <w:color w:val="auto"/>
                <w:kern w:val="0"/>
                <w:sz w:val="24"/>
                <w:szCs w:val="24"/>
                <w:highlight w:val="none"/>
                <w:u w:val="none"/>
                <w:lang w:val="en-US" w:eastAsia="zh-CN" w:bidi="ar-SA"/>
              </w:rPr>
              <w:t>45</w:t>
            </w:r>
            <w:r>
              <w:rPr>
                <w:rFonts w:hint="eastAsia" w:ascii="宋体" w:hAnsi="宋体" w:eastAsia="宋体" w:cs="宋体"/>
                <w:color w:val="auto"/>
                <w:kern w:val="0"/>
                <w:sz w:val="24"/>
                <w:szCs w:val="24"/>
                <w:highlight w:val="none"/>
                <w:u w:val="none"/>
                <w:lang w:bidi="ar-SA"/>
              </w:rPr>
              <w:t>%；</w:t>
            </w:r>
          </w:p>
          <w:p>
            <w:pPr>
              <w:widowControl/>
              <w:spacing w:after="0" w:line="240" w:lineRule="auto"/>
              <w:jc w:val="left"/>
              <w:outlineLvl w:val="9"/>
              <w:rPr>
                <w:rFonts w:hint="eastAsia" w:ascii="宋体" w:hAnsi="宋体" w:eastAsia="宋体" w:cs="宋体"/>
                <w:color w:val="auto"/>
                <w:kern w:val="0"/>
                <w:sz w:val="24"/>
                <w:szCs w:val="24"/>
                <w:highlight w:val="none"/>
                <w:u w:val="single"/>
                <w:lang w:val="en-US" w:eastAsia="zh-CN" w:bidi="ar-SA"/>
              </w:rPr>
            </w:pPr>
            <w:r>
              <w:rPr>
                <w:rFonts w:hint="eastAsia" w:ascii="宋体" w:hAnsi="宋体" w:cs="宋体"/>
                <w:color w:val="auto"/>
                <w:kern w:val="0"/>
                <w:sz w:val="24"/>
                <w:szCs w:val="24"/>
                <w:highlight w:val="none"/>
                <w:u w:val="none"/>
                <w:lang w:eastAsia="zh-CN" w:bidi="ar-SA"/>
              </w:rPr>
              <w:t>③</w:t>
            </w:r>
            <w:r>
              <w:rPr>
                <w:rFonts w:hint="eastAsia" w:ascii="宋体" w:hAnsi="宋体" w:cs="宋体"/>
                <w:color w:val="auto"/>
                <w:kern w:val="0"/>
                <w:sz w:val="24"/>
                <w:szCs w:val="24"/>
                <w:highlight w:val="none"/>
                <w:u w:val="none"/>
                <w:lang w:val="en-US" w:eastAsia="zh-CN" w:bidi="ar-SA"/>
              </w:rPr>
              <w:t>自验收合格基准日起届满一个月</w:t>
            </w:r>
            <w:r>
              <w:rPr>
                <w:rFonts w:hint="eastAsia" w:ascii="宋体" w:hAnsi="宋体" w:eastAsia="宋体" w:cs="宋体"/>
                <w:color w:val="auto"/>
                <w:kern w:val="0"/>
                <w:sz w:val="24"/>
                <w:szCs w:val="24"/>
                <w:highlight w:val="none"/>
                <w:u w:val="none"/>
                <w:lang w:bidi="ar-SA"/>
              </w:rPr>
              <w:t>，乙方提供等额增值税专用发票后的10个工作日内甲方支付本合同金额的</w:t>
            </w:r>
            <w:r>
              <w:rPr>
                <w:rFonts w:hint="eastAsia" w:ascii="宋体" w:hAnsi="宋体" w:eastAsia="宋体" w:cs="宋体"/>
                <w:color w:val="auto"/>
                <w:kern w:val="0"/>
                <w:sz w:val="24"/>
                <w:szCs w:val="24"/>
                <w:highlight w:val="none"/>
                <w:u w:val="none"/>
                <w:lang w:val="en-US" w:eastAsia="zh-CN" w:bidi="ar-SA"/>
              </w:rPr>
              <w:t>5</w:t>
            </w:r>
            <w:r>
              <w:rPr>
                <w:rFonts w:hint="eastAsia" w:ascii="宋体" w:hAnsi="宋体" w:eastAsia="宋体" w:cs="宋体"/>
                <w:color w:val="auto"/>
                <w:kern w:val="0"/>
                <w:sz w:val="24"/>
                <w:szCs w:val="24"/>
                <w:highlight w:val="none"/>
                <w:u w:val="none"/>
                <w:lang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
              </w:rPr>
              <w:t>交付日期</w:t>
            </w:r>
          </w:p>
        </w:tc>
        <w:tc>
          <w:tcPr>
            <w:tcW w:w="6925"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auto"/>
              <w:outlineLvl w:val="9"/>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iCs/>
                <w:color w:val="auto"/>
                <w:kern w:val="2"/>
                <w:sz w:val="24"/>
                <w:szCs w:val="24"/>
                <w:highlight w:val="none"/>
                <w:u w:val="none"/>
                <w:lang w:val="en-US" w:eastAsia="zh-CN" w:bidi="ar"/>
              </w:rPr>
              <w:t>合同签订后35日历天内完成供货安装调试，并一次性验收合格。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37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2"/>
                <w:sz w:val="24"/>
                <w:szCs w:val="24"/>
                <w:highlight w:val="none"/>
                <w:lang w:val="en-US" w:eastAsia="zh-CN" w:bidi="ar"/>
              </w:rPr>
              <w:t>交货地点</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2"/>
                <w:sz w:val="24"/>
                <w:szCs w:val="24"/>
                <w:highlight w:val="none"/>
                <w:u w:val="none"/>
                <w:lang w:val="en-US" w:eastAsia="zh-CN" w:bidi="ar"/>
              </w:rPr>
            </w:pPr>
            <w:r>
              <w:rPr>
                <w:rFonts w:hint="eastAsia" w:ascii="宋体" w:hAnsi="宋体" w:eastAsia="宋体" w:cs="宋体"/>
                <w:color w:val="auto"/>
                <w:kern w:val="2"/>
                <w:sz w:val="24"/>
                <w:szCs w:val="24"/>
                <w:highlight w:val="none"/>
                <w:u w:val="none"/>
                <w:lang w:val="en-US" w:eastAsia="zh-CN" w:bidi="ar"/>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37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0"/>
                <w:sz w:val="24"/>
                <w:szCs w:val="24"/>
                <w:highlight w:val="none"/>
                <w:lang w:val="en-US" w:eastAsia="zh-CN" w:bidi="ar-SA"/>
              </w:rPr>
              <w:t>质保期</w:t>
            </w:r>
          </w:p>
        </w:tc>
        <w:tc>
          <w:tcPr>
            <w:tcW w:w="6925" w:type="dxa"/>
            <w:noWrap w:val="0"/>
            <w:vAlign w:val="center"/>
          </w:tcPr>
          <w:p>
            <w:pPr>
              <w:widowControl/>
              <w:spacing w:after="0" w:line="240" w:lineRule="auto"/>
              <w:jc w:val="left"/>
              <w:outlineLvl w:val="9"/>
              <w:rPr>
                <w:rFonts w:hint="default" w:ascii="宋体" w:hAnsi="宋体" w:cs="宋体"/>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val="en-US" w:eastAsia="zh-CN" w:bidi="ar-SA"/>
              </w:rPr>
              <w:t>1.苹果相关产品按照苹果官方质保</w:t>
            </w:r>
          </w:p>
          <w:p>
            <w:pPr>
              <w:widowControl/>
              <w:spacing w:after="0" w:line="240" w:lineRule="auto"/>
              <w:jc w:val="left"/>
              <w:outlineLvl w:val="9"/>
              <w:rPr>
                <w:rFonts w:hint="eastAsia" w:ascii="宋体" w:hAnsi="宋体" w:eastAsia="宋体" w:cs="宋体"/>
                <w:color w:val="auto"/>
                <w:kern w:val="0"/>
                <w:sz w:val="24"/>
                <w:szCs w:val="24"/>
                <w:highlight w:val="none"/>
                <w:u w:val="none"/>
                <w:lang w:bidi="ar-SA"/>
              </w:rPr>
            </w:pPr>
            <w:r>
              <w:rPr>
                <w:rFonts w:hint="eastAsia" w:ascii="宋体" w:hAnsi="宋体" w:cs="宋体"/>
                <w:color w:val="auto"/>
                <w:kern w:val="0"/>
                <w:sz w:val="24"/>
                <w:szCs w:val="24"/>
                <w:highlight w:val="none"/>
                <w:u w:val="none"/>
                <w:lang w:val="en-US" w:eastAsia="zh-CN" w:bidi="ar-SA"/>
              </w:rPr>
              <w:t>2.荣耀相关产品按照荣耀官方</w:t>
            </w:r>
            <w:r>
              <w:rPr>
                <w:rFonts w:hint="eastAsia" w:ascii="宋体" w:hAnsi="宋体" w:eastAsia="宋体" w:cs="宋体"/>
                <w:color w:val="auto"/>
                <w:kern w:val="0"/>
                <w:sz w:val="24"/>
                <w:szCs w:val="24"/>
                <w:highlight w:val="none"/>
                <w:u w:val="none"/>
                <w:lang w:val="en-US" w:eastAsia="zh-CN" w:bidi="ar-SA"/>
              </w:rPr>
              <w:t>质保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6"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bidi="ar-SA"/>
              </w:rPr>
              <w:t>验收标准</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在交货前，乙方应对货物的质量、规格、性能、数量、重量等进行详细而全面的检验，并出具证明货物符合合同规定的书面证书，乙方检验的结果和细节应在证书中加以说明。该证书将作为申请付款单据的一部分，但有关质量、规格、性能、数量、重量的检验不应视为最终检验。</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2、乙方配合甲方的验收工作，根据</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lang w:val="en-US" w:eastAsia="zh-CN" w:bidi="ar-SA"/>
              </w:rPr>
              <w:t>、响应文件、采购合同、封存样品等约定的质量、数量、技术指标或者服务要求设置验收指标及其标准，制定验收指标及标准。</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3、如验收不合格的，乙方应采取补救措施，及时处理。整改结束后，重新组织验收，待验收合格后签署采购履约验收单当日为验收日期。</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4、未尽事宜，按《中华人民共和国民法典》、《中华人民共和国招标投标法》等相关法律法规、规定执行。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1371" w:type="dxa"/>
            <w:noWrap w:val="0"/>
            <w:vAlign w:val="center"/>
          </w:tcPr>
          <w:p>
            <w:pPr>
              <w:spacing w:after="0" w:line="240" w:lineRule="auto"/>
              <w:jc w:val="both"/>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bidi="ar-SA"/>
              </w:rPr>
              <w:t>服务标准、期限、效率</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u w:val="none"/>
                <w:lang w:eastAsia="zh-CN" w:bidi="ar-SA"/>
              </w:rPr>
              <w:t>★</w:t>
            </w:r>
            <w:r>
              <w:rPr>
                <w:rFonts w:hint="eastAsia" w:ascii="宋体" w:hAnsi="宋体" w:eastAsia="宋体" w:cs="宋体"/>
                <w:color w:val="auto"/>
                <w:kern w:val="0"/>
                <w:sz w:val="24"/>
                <w:szCs w:val="24"/>
                <w:highlight w:val="none"/>
                <w:lang w:val="en-US" w:eastAsia="zh-CN" w:bidi="ar-SA"/>
              </w:rPr>
              <w:t>质量保证：最新生产的符合国家相关技术标准和质量要求的出厂原装合格产品，</w:t>
            </w:r>
            <w:r>
              <w:rPr>
                <w:rFonts w:hint="eastAsia" w:ascii="宋体" w:hAnsi="宋体" w:eastAsia="宋体" w:cs="宋体"/>
                <w:color w:val="auto"/>
                <w:kern w:val="0"/>
                <w:sz w:val="24"/>
                <w:szCs w:val="24"/>
                <w:highlight w:val="none"/>
                <w:lang w:val="en-US" w:eastAsia="zh-CN" w:bidi="ar"/>
              </w:rPr>
              <w:t>所供产品整机各部件必须原厂原装，</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
              </w:rPr>
              <w:t>人不得自行改装</w:t>
            </w:r>
            <w:r>
              <w:rPr>
                <w:rFonts w:hint="eastAsia" w:ascii="宋体" w:hAnsi="宋体" w:eastAsia="宋体" w:cs="宋体"/>
                <w:color w:val="auto"/>
                <w:kern w:val="0"/>
                <w:sz w:val="24"/>
                <w:szCs w:val="24"/>
                <w:highlight w:val="none"/>
                <w:lang w:val="en-US" w:eastAsia="zh-CN" w:bidi="ar-SA"/>
              </w:rPr>
              <w:t>；不支持自组货物</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SA"/>
              </w:rPr>
              <w:t>。</w:t>
            </w:r>
            <w:r>
              <w:rPr>
                <w:rFonts w:hint="eastAsia" w:ascii="宋体" w:hAnsi="宋体" w:cs="宋体"/>
                <w:b/>
                <w:bCs/>
                <w:color w:val="auto"/>
                <w:kern w:val="0"/>
                <w:sz w:val="24"/>
                <w:szCs w:val="24"/>
                <w:highlight w:val="none"/>
                <w:u w:val="single"/>
                <w:lang w:val="en-US" w:eastAsia="zh-CN" w:bidi="ar-SA"/>
              </w:rPr>
              <w:t>（需提供承诺函并加盖公章）</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2.售后服务</w:t>
            </w:r>
          </w:p>
          <w:p>
            <w:pPr>
              <w:widowControl/>
              <w:spacing w:after="0" w:line="240" w:lineRule="auto"/>
              <w:jc w:val="left"/>
              <w:outlineLvl w:val="9"/>
              <w:rPr>
                <w:rFonts w:hint="eastAsia" w:ascii="宋体" w:hAnsi="宋体" w:eastAsia="宋体" w:cs="宋体"/>
                <w:color w:val="auto"/>
                <w:sz w:val="24"/>
                <w:szCs w:val="24"/>
                <w:highlight w:val="none"/>
                <w:lang w:val="en-US" w:eastAsia="zh-CN" w:bidi="ar-SA"/>
              </w:rPr>
            </w:pPr>
            <w:bookmarkStart w:id="6" w:name="_GoBack"/>
            <w:bookmarkEnd w:id="6"/>
            <w:r>
              <w:rPr>
                <w:rFonts w:hint="eastAsia" w:ascii="宋体" w:hAnsi="宋体" w:eastAsia="宋体" w:cs="宋体"/>
                <w:color w:val="auto"/>
                <w:kern w:val="0"/>
                <w:sz w:val="24"/>
                <w:szCs w:val="24"/>
                <w:highlight w:val="none"/>
                <w:lang w:val="en-US" w:eastAsia="zh-CN" w:bidi="ar-SA"/>
              </w:rPr>
              <w:t xml:space="preserve">非因甲方人为原因而出现设备质量问题的，由乙方负责包修、包换或包退并承担修理、调换或退货而产生的实际费用。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3" w:hRule="atLeast"/>
        </w:trPr>
        <w:tc>
          <w:tcPr>
            <w:tcW w:w="1371" w:type="dxa"/>
            <w:noWrap w:val="0"/>
            <w:vAlign w:val="center"/>
          </w:tcPr>
          <w:p>
            <w:pPr>
              <w:widowControl/>
              <w:snapToGrid w:val="0"/>
              <w:spacing w:line="240" w:lineRule="auto"/>
              <w:jc w:val="both"/>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bidi="ar-SA"/>
              </w:rPr>
              <w:t>其他技术、服务要求</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lang w:val="en-US" w:eastAsia="zh-CN" w:bidi="ar-SA"/>
              </w:rPr>
              <w:t>.供货时提供有关的全套技术文件（如产品说明书、保修证明、相关配套使用手册等）；</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SA"/>
              </w:rPr>
              <w:t>人保证所供产品符合国家有关规定。并保证所供产品具有合法的版权或使用权，本项目采购的产品，如在本项目范围内使用过程中出现版权或使用权纠纷，由中标人负责，采购人不承担任何责任。</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
              </w:rPr>
              <w:t>人在报价时应考虑人力成本和运输成本以及实际场地的突发情况。</w:t>
            </w: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lang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59" w:rightChars="17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A321C"/>
    <w:rsid w:val="000A5B11"/>
    <w:rsid w:val="00985E7D"/>
    <w:rsid w:val="00AA2AFE"/>
    <w:rsid w:val="00BC79D7"/>
    <w:rsid w:val="02D86C8B"/>
    <w:rsid w:val="03851DD9"/>
    <w:rsid w:val="04393618"/>
    <w:rsid w:val="05161D94"/>
    <w:rsid w:val="05A5029D"/>
    <w:rsid w:val="063C4B3B"/>
    <w:rsid w:val="06C4367A"/>
    <w:rsid w:val="07E0773A"/>
    <w:rsid w:val="08486520"/>
    <w:rsid w:val="08A62CC0"/>
    <w:rsid w:val="08F80099"/>
    <w:rsid w:val="09432AEE"/>
    <w:rsid w:val="0A173862"/>
    <w:rsid w:val="0A5E0FA4"/>
    <w:rsid w:val="0B146BF9"/>
    <w:rsid w:val="0B173867"/>
    <w:rsid w:val="0B9D616A"/>
    <w:rsid w:val="0E5C1D80"/>
    <w:rsid w:val="0E8737CE"/>
    <w:rsid w:val="0E9F68A4"/>
    <w:rsid w:val="0F5B34BA"/>
    <w:rsid w:val="0F5C0D6D"/>
    <w:rsid w:val="0FBC30F4"/>
    <w:rsid w:val="10606AEA"/>
    <w:rsid w:val="10994588"/>
    <w:rsid w:val="11AF3121"/>
    <w:rsid w:val="11E459A1"/>
    <w:rsid w:val="134C47DA"/>
    <w:rsid w:val="139E0F8A"/>
    <w:rsid w:val="1441153B"/>
    <w:rsid w:val="15276973"/>
    <w:rsid w:val="16B946CF"/>
    <w:rsid w:val="16FC29C4"/>
    <w:rsid w:val="179B5DAA"/>
    <w:rsid w:val="17A41D0D"/>
    <w:rsid w:val="17C96404"/>
    <w:rsid w:val="18F040F9"/>
    <w:rsid w:val="197E03DA"/>
    <w:rsid w:val="1AD67B64"/>
    <w:rsid w:val="1AF01848"/>
    <w:rsid w:val="1AF343B6"/>
    <w:rsid w:val="1B072EA4"/>
    <w:rsid w:val="1BE70AEF"/>
    <w:rsid w:val="1D433B34"/>
    <w:rsid w:val="1D60233E"/>
    <w:rsid w:val="1DC14CCC"/>
    <w:rsid w:val="1DD5063D"/>
    <w:rsid w:val="1E5063DA"/>
    <w:rsid w:val="1EBF0895"/>
    <w:rsid w:val="1F235B0E"/>
    <w:rsid w:val="1F632E0F"/>
    <w:rsid w:val="218549DE"/>
    <w:rsid w:val="22A45D6C"/>
    <w:rsid w:val="24672B31"/>
    <w:rsid w:val="2601741A"/>
    <w:rsid w:val="2694197E"/>
    <w:rsid w:val="26BB4FFA"/>
    <w:rsid w:val="278A3F1B"/>
    <w:rsid w:val="28AC2A0D"/>
    <w:rsid w:val="29090661"/>
    <w:rsid w:val="29805060"/>
    <w:rsid w:val="29932C56"/>
    <w:rsid w:val="29EF54F8"/>
    <w:rsid w:val="29F71EAC"/>
    <w:rsid w:val="2A530E4D"/>
    <w:rsid w:val="2B66714D"/>
    <w:rsid w:val="2B676775"/>
    <w:rsid w:val="2B760DBA"/>
    <w:rsid w:val="2BF672B2"/>
    <w:rsid w:val="2C2244B5"/>
    <w:rsid w:val="2E75303F"/>
    <w:rsid w:val="2EDD6932"/>
    <w:rsid w:val="2EEA3AEB"/>
    <w:rsid w:val="306E3ED7"/>
    <w:rsid w:val="30C621E9"/>
    <w:rsid w:val="33434585"/>
    <w:rsid w:val="3351256F"/>
    <w:rsid w:val="33710B1C"/>
    <w:rsid w:val="339C7809"/>
    <w:rsid w:val="3560314E"/>
    <w:rsid w:val="36DC5233"/>
    <w:rsid w:val="36EB0A23"/>
    <w:rsid w:val="374B7F62"/>
    <w:rsid w:val="382E711D"/>
    <w:rsid w:val="38D05EFF"/>
    <w:rsid w:val="39662335"/>
    <w:rsid w:val="399E0FE0"/>
    <w:rsid w:val="3A0071FE"/>
    <w:rsid w:val="3A3939F6"/>
    <w:rsid w:val="3A39528B"/>
    <w:rsid w:val="3A5B4807"/>
    <w:rsid w:val="3BD014F0"/>
    <w:rsid w:val="3BF2689B"/>
    <w:rsid w:val="3D0455B0"/>
    <w:rsid w:val="3D1A188A"/>
    <w:rsid w:val="3DE01279"/>
    <w:rsid w:val="3E78700D"/>
    <w:rsid w:val="3E7D6F82"/>
    <w:rsid w:val="3E942880"/>
    <w:rsid w:val="3EA008B3"/>
    <w:rsid w:val="402E72DA"/>
    <w:rsid w:val="40F43DE8"/>
    <w:rsid w:val="417844D2"/>
    <w:rsid w:val="4232654F"/>
    <w:rsid w:val="42940506"/>
    <w:rsid w:val="42DF29B4"/>
    <w:rsid w:val="433971D6"/>
    <w:rsid w:val="433B35AE"/>
    <w:rsid w:val="44187EC3"/>
    <w:rsid w:val="44745DF9"/>
    <w:rsid w:val="44BD2487"/>
    <w:rsid w:val="44D84D3C"/>
    <w:rsid w:val="45CE067E"/>
    <w:rsid w:val="461A523C"/>
    <w:rsid w:val="465A15CF"/>
    <w:rsid w:val="46DA321C"/>
    <w:rsid w:val="479A7464"/>
    <w:rsid w:val="47B36031"/>
    <w:rsid w:val="48064A24"/>
    <w:rsid w:val="498315BF"/>
    <w:rsid w:val="49F96969"/>
    <w:rsid w:val="4AA50DDD"/>
    <w:rsid w:val="4AB608E4"/>
    <w:rsid w:val="4B06642D"/>
    <w:rsid w:val="4CE1310C"/>
    <w:rsid w:val="4D2A0DDA"/>
    <w:rsid w:val="4D6D3115"/>
    <w:rsid w:val="4DB316D4"/>
    <w:rsid w:val="4DD03040"/>
    <w:rsid w:val="4E3C120D"/>
    <w:rsid w:val="4FA03765"/>
    <w:rsid w:val="5007630E"/>
    <w:rsid w:val="514364CA"/>
    <w:rsid w:val="51B938A7"/>
    <w:rsid w:val="522B28CD"/>
    <w:rsid w:val="52582E7C"/>
    <w:rsid w:val="527668E4"/>
    <w:rsid w:val="531A55B1"/>
    <w:rsid w:val="545E1E79"/>
    <w:rsid w:val="54B42BBB"/>
    <w:rsid w:val="561843C9"/>
    <w:rsid w:val="566B690C"/>
    <w:rsid w:val="567C0AA8"/>
    <w:rsid w:val="56ED2430"/>
    <w:rsid w:val="585A5D81"/>
    <w:rsid w:val="587E2772"/>
    <w:rsid w:val="58B42629"/>
    <w:rsid w:val="5B3A24D0"/>
    <w:rsid w:val="5BF47D4B"/>
    <w:rsid w:val="5C3E5A18"/>
    <w:rsid w:val="5CD25204"/>
    <w:rsid w:val="5DB5381D"/>
    <w:rsid w:val="5E9F122D"/>
    <w:rsid w:val="5F913D9A"/>
    <w:rsid w:val="5FB10E83"/>
    <w:rsid w:val="601B6CE3"/>
    <w:rsid w:val="60210839"/>
    <w:rsid w:val="607A47AD"/>
    <w:rsid w:val="614373EC"/>
    <w:rsid w:val="615C2A6D"/>
    <w:rsid w:val="62A84F9D"/>
    <w:rsid w:val="63660435"/>
    <w:rsid w:val="637F581E"/>
    <w:rsid w:val="662A6700"/>
    <w:rsid w:val="664F32D2"/>
    <w:rsid w:val="66DD2569"/>
    <w:rsid w:val="67554D03"/>
    <w:rsid w:val="68A97CC5"/>
    <w:rsid w:val="695106DA"/>
    <w:rsid w:val="69EC3828"/>
    <w:rsid w:val="69F8366A"/>
    <w:rsid w:val="6AA10C56"/>
    <w:rsid w:val="6AF76137"/>
    <w:rsid w:val="6AF7713E"/>
    <w:rsid w:val="6B092CA7"/>
    <w:rsid w:val="6B6901CF"/>
    <w:rsid w:val="6CB336AC"/>
    <w:rsid w:val="6EB4251A"/>
    <w:rsid w:val="6F976270"/>
    <w:rsid w:val="71646333"/>
    <w:rsid w:val="71CC5E5F"/>
    <w:rsid w:val="71D2489C"/>
    <w:rsid w:val="7231463C"/>
    <w:rsid w:val="74C276BC"/>
    <w:rsid w:val="7542053D"/>
    <w:rsid w:val="75CE758B"/>
    <w:rsid w:val="75D66501"/>
    <w:rsid w:val="767E700C"/>
    <w:rsid w:val="76986858"/>
    <w:rsid w:val="774358F6"/>
    <w:rsid w:val="77505EBA"/>
    <w:rsid w:val="775B544F"/>
    <w:rsid w:val="77750633"/>
    <w:rsid w:val="77835055"/>
    <w:rsid w:val="77D5668B"/>
    <w:rsid w:val="788901A6"/>
    <w:rsid w:val="79211A93"/>
    <w:rsid w:val="7B20295A"/>
    <w:rsid w:val="7BB47357"/>
    <w:rsid w:val="7BBD7891"/>
    <w:rsid w:val="7C10627A"/>
    <w:rsid w:val="7C4B3A15"/>
    <w:rsid w:val="7D2C4DB9"/>
    <w:rsid w:val="7D987831"/>
    <w:rsid w:val="7E4E5255"/>
    <w:rsid w:val="7ED53BF8"/>
    <w:rsid w:val="7F6C65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Body Text 3"/>
    <w:basedOn w:val="1"/>
    <w:qFormat/>
    <w:uiPriority w:val="0"/>
    <w:rPr>
      <w:sz w:val="16"/>
      <w:szCs w:val="16"/>
    </w:rPr>
  </w:style>
  <w:style w:type="paragraph" w:styleId="6">
    <w:name w:val="Body Text Indent"/>
    <w:basedOn w:val="1"/>
    <w:next w:val="7"/>
    <w:qFormat/>
    <w:uiPriority w:val="0"/>
    <w:pPr>
      <w:ind w:left="200" w:hanging="200" w:hangingChars="200"/>
    </w:pPr>
    <w:rPr>
      <w:sz w:val="24"/>
    </w:rPr>
  </w:style>
  <w:style w:type="paragraph" w:customStyle="1" w:styleId="7">
    <w:name w:val="样式 正文文本缩进 + 首行缩进:  2 字符 行距: 1.5 倍行距"/>
    <w:basedOn w:val="6"/>
    <w:qFormat/>
    <w:uiPriority w:val="0"/>
    <w:pPr>
      <w:ind w:firstLine="560"/>
    </w:pPr>
    <w:rPr>
      <w:rFonts w:eastAsia="仿宋_GB2312"/>
    </w:rPr>
  </w:style>
  <w:style w:type="paragraph" w:styleId="8">
    <w:name w:val="Block Text"/>
    <w:basedOn w:val="1"/>
    <w:qFormat/>
    <w:uiPriority w:val="0"/>
    <w:pPr>
      <w:spacing w:after="120"/>
      <w:ind w:left="700" w:leftChars="700" w:right="700" w:rightChars="700"/>
    </w:pPr>
  </w:style>
  <w:style w:type="paragraph" w:styleId="9">
    <w:name w:val="Plain Text"/>
    <w:basedOn w:val="1"/>
    <w:qFormat/>
    <w:uiPriority w:val="0"/>
    <w:pPr>
      <w:widowControl/>
      <w:overflowPunct w:val="0"/>
      <w:autoSpaceDE w:val="0"/>
      <w:autoSpaceDN w:val="0"/>
      <w:adjustRightInd w:val="0"/>
      <w:jc w:val="left"/>
      <w:textAlignment w:val="baseline"/>
    </w:pPr>
    <w:rPr>
      <w:rFonts w:ascii="宋体" w:hAnsi="Courier New"/>
      <w:sz w:val="24"/>
    </w:rPr>
  </w:style>
  <w:style w:type="paragraph" w:styleId="10">
    <w:name w:val="Date"/>
    <w:basedOn w:val="1"/>
    <w:next w:val="1"/>
    <w:qFormat/>
    <w:uiPriority w:val="0"/>
    <w:pPr>
      <w:ind w:left="2500" w:leftChars="2500"/>
    </w:pPr>
    <w:rPr>
      <w:rFonts w:eastAsia="楷体_GB2312"/>
      <w:sz w:val="32"/>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toc 1"/>
    <w:basedOn w:val="1"/>
    <w:next w:val="1"/>
    <w:qFormat/>
    <w:uiPriority w:val="0"/>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w:basedOn w:val="2"/>
    <w:next w:val="1"/>
    <w:qFormat/>
    <w:uiPriority w:val="0"/>
    <w:pPr>
      <w:autoSpaceDE w:val="0"/>
      <w:autoSpaceDN w:val="0"/>
      <w:adjustRightInd w:val="0"/>
      <w:ind w:firstLine="100" w:firstLineChars="100"/>
      <w:jc w:val="left"/>
    </w:pPr>
    <w:rPr>
      <w:rFonts w:ascii="仿宋_GB2312"/>
      <w:b/>
      <w:kern w:val="0"/>
      <w:sz w:val="32"/>
      <w:szCs w:val="32"/>
    </w:rPr>
  </w:style>
  <w:style w:type="paragraph" w:styleId="15">
    <w:name w:val="Body Text First Indent 2"/>
    <w:basedOn w:val="6"/>
    <w:next w:val="1"/>
    <w:qFormat/>
    <w:uiPriority w:val="0"/>
  </w:style>
  <w:style w:type="character" w:styleId="18">
    <w:name w:val="Strong"/>
    <w:basedOn w:val="17"/>
    <w:qFormat/>
    <w:uiPriority w:val="0"/>
    <w:rPr>
      <w:b/>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表内文字"/>
    <w:basedOn w:val="1"/>
    <w:qFormat/>
    <w:uiPriority w:val="0"/>
    <w:pPr>
      <w:tabs>
        <w:tab w:val="left" w:pos="1418"/>
      </w:tabs>
      <w:spacing w:line="360" w:lineRule="auto"/>
      <w:jc w:val="center"/>
    </w:pPr>
    <w:rPr>
      <w:rFonts w:ascii="仿宋_GB2312" w:eastAsia="仿宋_GB2312"/>
      <w:spacing w:val="-2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16</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2026-09-16T02:55:00Z</dcterms:created>
  <dc:creator>张宇</dc:creator>
  <cp:lastModifiedBy> </cp:lastModifiedBy>
  <dcterms:modified xsi:type="dcterms:W3CDTF">2026-10-15T06:33:01Z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4B262D53D31B469285BEE531DB8BED60</vt:lpwstr>
  </property>
</Properties>
</file>